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160C9" w14:paraId="333B72FF" w14:textId="77777777" w:rsidTr="00345119">
        <w:tc>
          <w:tcPr>
            <w:tcW w:w="9576" w:type="dxa"/>
            <w:noWrap/>
          </w:tcPr>
          <w:p w14:paraId="1D006550" w14:textId="77777777" w:rsidR="008423E4" w:rsidRPr="0022177D" w:rsidRDefault="00510441" w:rsidP="00BA0F39">
            <w:pPr>
              <w:pStyle w:val="Heading1"/>
            </w:pPr>
            <w:r w:rsidRPr="00631897">
              <w:t>BILL ANALYSIS</w:t>
            </w:r>
          </w:p>
        </w:tc>
      </w:tr>
    </w:tbl>
    <w:p w14:paraId="0AB77EAD" w14:textId="77777777" w:rsidR="008423E4" w:rsidRPr="0022177D" w:rsidRDefault="008423E4" w:rsidP="00BA0F39">
      <w:pPr>
        <w:jc w:val="center"/>
      </w:pPr>
    </w:p>
    <w:p w14:paraId="3C8364C0" w14:textId="77777777" w:rsidR="008423E4" w:rsidRPr="00B31F0E" w:rsidRDefault="008423E4" w:rsidP="00BA0F39"/>
    <w:p w14:paraId="17BCF28B" w14:textId="77777777" w:rsidR="008423E4" w:rsidRPr="00742794" w:rsidRDefault="008423E4" w:rsidP="00BA0F39">
      <w:pPr>
        <w:tabs>
          <w:tab w:val="right" w:pos="9360"/>
        </w:tabs>
      </w:pPr>
    </w:p>
    <w:tbl>
      <w:tblPr>
        <w:tblW w:w="0" w:type="auto"/>
        <w:tblLayout w:type="fixed"/>
        <w:tblLook w:val="01E0" w:firstRow="1" w:lastRow="1" w:firstColumn="1" w:lastColumn="1" w:noHBand="0" w:noVBand="0"/>
      </w:tblPr>
      <w:tblGrid>
        <w:gridCol w:w="9576"/>
      </w:tblGrid>
      <w:tr w:rsidR="00E160C9" w14:paraId="21D57EF7" w14:textId="77777777" w:rsidTr="00345119">
        <w:tc>
          <w:tcPr>
            <w:tcW w:w="9576" w:type="dxa"/>
          </w:tcPr>
          <w:p w14:paraId="46B17B56" w14:textId="4DBE6A0D" w:rsidR="008423E4" w:rsidRPr="00861995" w:rsidRDefault="00510441" w:rsidP="00BA0F39">
            <w:pPr>
              <w:jc w:val="right"/>
            </w:pPr>
            <w:r>
              <w:t>S.B. 1093</w:t>
            </w:r>
          </w:p>
        </w:tc>
      </w:tr>
      <w:tr w:rsidR="00E160C9" w14:paraId="112D26D0" w14:textId="77777777" w:rsidTr="00345119">
        <w:tc>
          <w:tcPr>
            <w:tcW w:w="9576" w:type="dxa"/>
          </w:tcPr>
          <w:p w14:paraId="167492B7" w14:textId="0D9A4C17" w:rsidR="008423E4" w:rsidRPr="00861995" w:rsidRDefault="00510441" w:rsidP="00BA0F39">
            <w:pPr>
              <w:jc w:val="right"/>
            </w:pPr>
            <w:r>
              <w:t xml:space="preserve">By: </w:t>
            </w:r>
            <w:r w:rsidR="00597BF9">
              <w:t>Schwertner</w:t>
            </w:r>
          </w:p>
        </w:tc>
      </w:tr>
      <w:tr w:rsidR="00E160C9" w14:paraId="2981FFD5" w14:textId="77777777" w:rsidTr="00345119">
        <w:tc>
          <w:tcPr>
            <w:tcW w:w="9576" w:type="dxa"/>
          </w:tcPr>
          <w:p w14:paraId="0C36B31C" w14:textId="46825CDC" w:rsidR="008423E4" w:rsidRPr="00861995" w:rsidRDefault="00510441" w:rsidP="00BA0F39">
            <w:pPr>
              <w:jc w:val="right"/>
            </w:pPr>
            <w:r>
              <w:t>State Affairs</w:t>
            </w:r>
          </w:p>
        </w:tc>
      </w:tr>
      <w:tr w:rsidR="00E160C9" w14:paraId="6CD1CD38" w14:textId="77777777" w:rsidTr="00345119">
        <w:tc>
          <w:tcPr>
            <w:tcW w:w="9576" w:type="dxa"/>
          </w:tcPr>
          <w:p w14:paraId="7B404CDE" w14:textId="680A85C9" w:rsidR="008423E4" w:rsidRDefault="00510441" w:rsidP="00BA0F39">
            <w:pPr>
              <w:jc w:val="right"/>
            </w:pPr>
            <w:r>
              <w:t>Committee Report (Unamended)</w:t>
            </w:r>
          </w:p>
        </w:tc>
      </w:tr>
    </w:tbl>
    <w:p w14:paraId="47BABED3" w14:textId="77777777" w:rsidR="008423E4" w:rsidRDefault="008423E4" w:rsidP="00BA0F39">
      <w:pPr>
        <w:tabs>
          <w:tab w:val="right" w:pos="9360"/>
        </w:tabs>
      </w:pPr>
    </w:p>
    <w:p w14:paraId="62378AA1" w14:textId="77777777" w:rsidR="008423E4" w:rsidRDefault="008423E4" w:rsidP="00BA0F39"/>
    <w:p w14:paraId="07CE2480" w14:textId="77777777" w:rsidR="008423E4" w:rsidRDefault="008423E4" w:rsidP="00BA0F39"/>
    <w:tbl>
      <w:tblPr>
        <w:tblW w:w="0" w:type="auto"/>
        <w:tblCellMar>
          <w:left w:w="115" w:type="dxa"/>
          <w:right w:w="115" w:type="dxa"/>
        </w:tblCellMar>
        <w:tblLook w:val="01E0" w:firstRow="1" w:lastRow="1" w:firstColumn="1" w:lastColumn="1" w:noHBand="0" w:noVBand="0"/>
      </w:tblPr>
      <w:tblGrid>
        <w:gridCol w:w="9360"/>
      </w:tblGrid>
      <w:tr w:rsidR="00E160C9" w14:paraId="5C9C5B92" w14:textId="77777777" w:rsidTr="00345119">
        <w:tc>
          <w:tcPr>
            <w:tcW w:w="9576" w:type="dxa"/>
          </w:tcPr>
          <w:p w14:paraId="0A5AE618" w14:textId="77777777" w:rsidR="008423E4" w:rsidRPr="00A8133F" w:rsidRDefault="00510441" w:rsidP="00BA0F39">
            <w:pPr>
              <w:rPr>
                <w:b/>
              </w:rPr>
            </w:pPr>
            <w:r w:rsidRPr="009C1E9A">
              <w:rPr>
                <w:b/>
                <w:u w:val="single"/>
              </w:rPr>
              <w:t>BACKGROUND AND PURPOSE</w:t>
            </w:r>
            <w:r>
              <w:rPr>
                <w:b/>
              </w:rPr>
              <w:t xml:space="preserve"> </w:t>
            </w:r>
          </w:p>
          <w:p w14:paraId="5C39E4E8" w14:textId="77777777" w:rsidR="008423E4" w:rsidRDefault="008423E4" w:rsidP="00BA0F39"/>
          <w:p w14:paraId="58F178EE" w14:textId="2717EE6C" w:rsidR="00005480" w:rsidRDefault="00510441" w:rsidP="00BA0F39">
            <w:pPr>
              <w:pStyle w:val="Header"/>
              <w:tabs>
                <w:tab w:val="clear" w:pos="4320"/>
                <w:tab w:val="clear" w:pos="8640"/>
              </w:tabs>
              <w:jc w:val="both"/>
            </w:pPr>
            <w:r w:rsidRPr="00224783">
              <w:t xml:space="preserve">The </w:t>
            </w:r>
            <w:r>
              <w:t xml:space="preserve">87th </w:t>
            </w:r>
            <w:r w:rsidRPr="00224783">
              <w:t>Texas Legislature</w:t>
            </w:r>
            <w:r>
              <w:t>, through the passage of S.B. 3,</w:t>
            </w:r>
            <w:r w:rsidRPr="00224783">
              <w:t xml:space="preserve"> mandated the creation of an electricity supply chain map</w:t>
            </w:r>
            <w:r>
              <w:t xml:space="preserve"> </w:t>
            </w:r>
            <w:r w:rsidRPr="00224783">
              <w:t xml:space="preserve">by the Texas Electricity Supply Chain Security and Mapping Committee. This important tool has created better coordinated preparedness and faster response time during weather emergencies. The </w:t>
            </w:r>
            <w:r w:rsidR="001852A2">
              <w:t>Public Utility Commission of Texas</w:t>
            </w:r>
            <w:r w:rsidR="001852A2" w:rsidRPr="00224783">
              <w:t xml:space="preserve"> </w:t>
            </w:r>
            <w:r w:rsidR="001852A2">
              <w:t>(</w:t>
            </w:r>
            <w:r w:rsidRPr="00224783">
              <w:t>PUC</w:t>
            </w:r>
            <w:r w:rsidR="001852A2">
              <w:t>)</w:t>
            </w:r>
            <w:r w:rsidRPr="00224783">
              <w:t xml:space="preserve"> has identified several additions</w:t>
            </w:r>
            <w:r>
              <w:t xml:space="preserve"> that should be added to statute</w:t>
            </w:r>
            <w:r w:rsidRPr="00224783">
              <w:t xml:space="preserve"> to bolster the map.</w:t>
            </w:r>
            <w:r>
              <w:t xml:space="preserve"> </w:t>
            </w:r>
          </w:p>
          <w:p w14:paraId="20470FAA" w14:textId="77777777" w:rsidR="00005480" w:rsidRDefault="00005480" w:rsidP="00BA0F39">
            <w:pPr>
              <w:pStyle w:val="Header"/>
              <w:tabs>
                <w:tab w:val="clear" w:pos="4320"/>
                <w:tab w:val="clear" w:pos="8640"/>
              </w:tabs>
              <w:jc w:val="both"/>
            </w:pPr>
          </w:p>
          <w:p w14:paraId="60440708" w14:textId="7ECA9DBF" w:rsidR="001852A2" w:rsidRDefault="00510441" w:rsidP="00BA0F39">
            <w:pPr>
              <w:pStyle w:val="Header"/>
              <w:tabs>
                <w:tab w:val="clear" w:pos="4320"/>
                <w:tab w:val="clear" w:pos="8640"/>
              </w:tabs>
              <w:jc w:val="both"/>
            </w:pPr>
            <w:r w:rsidRPr="00224783">
              <w:t>Currently</w:t>
            </w:r>
            <w:r>
              <w:t>,</w:t>
            </w:r>
            <w:r w:rsidRPr="00224783">
              <w:t xml:space="preserve"> water facilities are not included in the </w:t>
            </w:r>
            <w:r>
              <w:t>m</w:t>
            </w:r>
            <w:r w:rsidRPr="00224783">
              <w:t>ap. Water is a key component to the production of electricity in Texas. In emergen</w:t>
            </w:r>
            <w:r w:rsidRPr="00224783">
              <w:t xml:space="preserve">cy situations, location transparency for all critical infrastructure is essential. To provide decision makers with the information needed to coordinate between electric, gas, and water industries, water facilities should be added to the </w:t>
            </w:r>
            <w:r>
              <w:t>m</w:t>
            </w:r>
            <w:r w:rsidRPr="00224783">
              <w:t xml:space="preserve">ap. </w:t>
            </w:r>
            <w:r>
              <w:t xml:space="preserve">Additionally, </w:t>
            </w:r>
            <w:r>
              <w:t>d</w:t>
            </w:r>
            <w:r w:rsidRPr="00224783">
              <w:t>uring Winter Storm Uri road crews were unable to reach critical infrastructure facilities due to inclement weather and there was no visibility into which roads were inaccessible. To ensure road crews have pertinent information needed during disasters or w</w:t>
            </w:r>
            <w:r w:rsidRPr="00224783">
              <w:t xml:space="preserve">eather emergencies, </w:t>
            </w:r>
            <w:r>
              <w:t>the Texas Department of Transportation</w:t>
            </w:r>
            <w:r w:rsidRPr="00224783">
              <w:t xml:space="preserve"> </w:t>
            </w:r>
            <w:r>
              <w:t>(</w:t>
            </w:r>
            <w:r w:rsidRPr="00224783">
              <w:t>T</w:t>
            </w:r>
            <w:r>
              <w:t>x</w:t>
            </w:r>
            <w:r w:rsidRPr="00224783">
              <w:t>DOT</w:t>
            </w:r>
            <w:r>
              <w:t>)</w:t>
            </w:r>
            <w:r w:rsidRPr="00224783">
              <w:t xml:space="preserve"> should be added to the mapping committee and have access to the </w:t>
            </w:r>
            <w:r>
              <w:t>m</w:t>
            </w:r>
            <w:r w:rsidRPr="00224783">
              <w:t xml:space="preserve">ap. To verify the accuracy of information for critical natural gas facilities needed to serve black start generating units, </w:t>
            </w:r>
            <w:r>
              <w:t>transmission and distribution service providers (TDSPs)</w:t>
            </w:r>
            <w:r w:rsidRPr="00224783">
              <w:t xml:space="preserve"> need access </w:t>
            </w:r>
            <w:r w:rsidR="00A228B9">
              <w:t xml:space="preserve">to </w:t>
            </w:r>
            <w:r w:rsidRPr="00224783">
              <w:t xml:space="preserve">the </w:t>
            </w:r>
            <w:r>
              <w:t>m</w:t>
            </w:r>
            <w:r w:rsidRPr="00224783">
              <w:t>ap. A black start unit is one that can start its own power without support from the grid in the event of a collapse or blackout. The PUC recommends that each TDSP be allowed access</w:t>
            </w:r>
            <w:r w:rsidRPr="00224783">
              <w:t xml:space="preserve"> to its specific portion of the </w:t>
            </w:r>
            <w:r>
              <w:t>m</w:t>
            </w:r>
            <w:r w:rsidRPr="00224783">
              <w:t>ap to prioritize service to critical natural gas facilities needed to serve black start generating units in times of emergencies</w:t>
            </w:r>
            <w:r>
              <w:t xml:space="preserve">. </w:t>
            </w:r>
          </w:p>
          <w:p w14:paraId="26421784" w14:textId="77777777" w:rsidR="001852A2" w:rsidRDefault="001852A2" w:rsidP="00BA0F39">
            <w:pPr>
              <w:pStyle w:val="Header"/>
              <w:tabs>
                <w:tab w:val="clear" w:pos="4320"/>
                <w:tab w:val="clear" w:pos="8640"/>
              </w:tabs>
              <w:jc w:val="both"/>
            </w:pPr>
          </w:p>
          <w:p w14:paraId="340F8F58" w14:textId="0BFF9ADC" w:rsidR="008423E4" w:rsidRDefault="00510441" w:rsidP="00BA0F39">
            <w:pPr>
              <w:pStyle w:val="Header"/>
              <w:tabs>
                <w:tab w:val="clear" w:pos="4320"/>
                <w:tab w:val="clear" w:pos="8640"/>
              </w:tabs>
              <w:jc w:val="both"/>
            </w:pPr>
            <w:r>
              <w:t>S.B. 1093</w:t>
            </w:r>
            <w:r w:rsidR="00224783" w:rsidRPr="00224783">
              <w:t xml:space="preserve"> </w:t>
            </w:r>
            <w:r>
              <w:t>seeks to</w:t>
            </w:r>
            <w:r w:rsidR="00224783" w:rsidRPr="00224783">
              <w:t xml:space="preserve"> add water facilities to the map, add TxDOT to the mapping committee and give them access to the map</w:t>
            </w:r>
            <w:r>
              <w:t>,</w:t>
            </w:r>
            <w:r w:rsidR="00224783" w:rsidRPr="00224783">
              <w:t xml:space="preserve"> and allow TDSPs access to their specific portion of the map.</w:t>
            </w:r>
          </w:p>
          <w:p w14:paraId="53FAEE7F" w14:textId="77777777" w:rsidR="008423E4" w:rsidRPr="00E26B13" w:rsidRDefault="008423E4" w:rsidP="00BA0F39">
            <w:pPr>
              <w:rPr>
                <w:b/>
              </w:rPr>
            </w:pPr>
          </w:p>
        </w:tc>
      </w:tr>
      <w:tr w:rsidR="00E160C9" w14:paraId="3213F4DA" w14:textId="77777777" w:rsidTr="00345119">
        <w:tc>
          <w:tcPr>
            <w:tcW w:w="9576" w:type="dxa"/>
          </w:tcPr>
          <w:p w14:paraId="7571DD48" w14:textId="77777777" w:rsidR="0017725B" w:rsidRDefault="00510441" w:rsidP="00BA0F39">
            <w:pPr>
              <w:rPr>
                <w:b/>
                <w:u w:val="single"/>
              </w:rPr>
            </w:pPr>
            <w:r>
              <w:rPr>
                <w:b/>
                <w:u w:val="single"/>
              </w:rPr>
              <w:t>CRIMINAL JUSTICE IMPACT</w:t>
            </w:r>
          </w:p>
          <w:p w14:paraId="2C430CEB" w14:textId="77777777" w:rsidR="0017725B" w:rsidRDefault="0017725B" w:rsidP="00BA0F39">
            <w:pPr>
              <w:rPr>
                <w:b/>
                <w:u w:val="single"/>
              </w:rPr>
            </w:pPr>
          </w:p>
          <w:p w14:paraId="3EC3AFA9" w14:textId="7436A974" w:rsidR="00072503" w:rsidRPr="00072503" w:rsidRDefault="00510441" w:rsidP="00BA0F39">
            <w:pPr>
              <w:jc w:val="both"/>
            </w:pPr>
            <w:r>
              <w:t>It is the committee's opinion that this bill does not expressly cr</w:t>
            </w:r>
            <w:r>
              <w:t>eate a criminal offense, increase the punishment for an existing criminal offense or category of offenses, or change the eligibility of a person for community supervision, parole, or mandatory supervision.</w:t>
            </w:r>
          </w:p>
          <w:p w14:paraId="4DC8F962" w14:textId="77777777" w:rsidR="0017725B" w:rsidRPr="0017725B" w:rsidRDefault="0017725B" w:rsidP="00BA0F39">
            <w:pPr>
              <w:rPr>
                <w:b/>
                <w:u w:val="single"/>
              </w:rPr>
            </w:pPr>
          </w:p>
        </w:tc>
      </w:tr>
      <w:tr w:rsidR="00E160C9" w14:paraId="57660B98" w14:textId="77777777" w:rsidTr="00345119">
        <w:tc>
          <w:tcPr>
            <w:tcW w:w="9576" w:type="dxa"/>
          </w:tcPr>
          <w:p w14:paraId="42A51747" w14:textId="77777777" w:rsidR="008423E4" w:rsidRPr="00A8133F" w:rsidRDefault="00510441" w:rsidP="00BA0F39">
            <w:pPr>
              <w:rPr>
                <w:b/>
              </w:rPr>
            </w:pPr>
            <w:r w:rsidRPr="009C1E9A">
              <w:rPr>
                <w:b/>
                <w:u w:val="single"/>
              </w:rPr>
              <w:t>RULEMAKING AUTHORITY</w:t>
            </w:r>
            <w:r>
              <w:rPr>
                <w:b/>
              </w:rPr>
              <w:t xml:space="preserve"> </w:t>
            </w:r>
          </w:p>
          <w:p w14:paraId="527ACE97" w14:textId="77777777" w:rsidR="008423E4" w:rsidRDefault="008423E4" w:rsidP="00BA0F39"/>
          <w:p w14:paraId="14C3E497" w14:textId="3A251FB7" w:rsidR="00072503" w:rsidRDefault="00510441" w:rsidP="00BA0F39">
            <w:pPr>
              <w:pStyle w:val="Header"/>
              <w:tabs>
                <w:tab w:val="clear" w:pos="4320"/>
                <w:tab w:val="clear" w:pos="8640"/>
              </w:tabs>
              <w:jc w:val="both"/>
            </w:pPr>
            <w:r>
              <w:t>It is the committee's opi</w:t>
            </w:r>
            <w:r>
              <w:t>nion that this bill does not expressly grant any additional rulemaking authority to a state officer, department, agency, or institution.</w:t>
            </w:r>
          </w:p>
          <w:p w14:paraId="5C3AD0B8" w14:textId="77777777" w:rsidR="008423E4" w:rsidRPr="00E21FDC" w:rsidRDefault="008423E4" w:rsidP="00BA0F39">
            <w:pPr>
              <w:rPr>
                <w:b/>
              </w:rPr>
            </w:pPr>
          </w:p>
        </w:tc>
      </w:tr>
      <w:tr w:rsidR="00E160C9" w14:paraId="237F359D" w14:textId="77777777" w:rsidTr="00345119">
        <w:tc>
          <w:tcPr>
            <w:tcW w:w="9576" w:type="dxa"/>
          </w:tcPr>
          <w:p w14:paraId="00D79D84" w14:textId="77777777" w:rsidR="008423E4" w:rsidRPr="00A8133F" w:rsidRDefault="00510441" w:rsidP="00BA0F39">
            <w:pPr>
              <w:rPr>
                <w:b/>
              </w:rPr>
            </w:pPr>
            <w:r w:rsidRPr="009C1E9A">
              <w:rPr>
                <w:b/>
                <w:u w:val="single"/>
              </w:rPr>
              <w:t>ANALYSIS</w:t>
            </w:r>
            <w:r>
              <w:rPr>
                <w:b/>
              </w:rPr>
              <w:t xml:space="preserve"> </w:t>
            </w:r>
          </w:p>
          <w:p w14:paraId="6AC27584" w14:textId="77777777" w:rsidR="008423E4" w:rsidRDefault="008423E4" w:rsidP="00BA0F39"/>
          <w:p w14:paraId="58D9D9DE" w14:textId="67E48F75" w:rsidR="00B51D38" w:rsidRDefault="00510441" w:rsidP="00BA0F39">
            <w:pPr>
              <w:pStyle w:val="Header"/>
              <w:tabs>
                <w:tab w:val="clear" w:pos="4320"/>
                <w:tab w:val="clear" w:pos="8640"/>
              </w:tabs>
              <w:jc w:val="both"/>
            </w:pPr>
            <w:r>
              <w:t>S.B. 1093</w:t>
            </w:r>
            <w:r w:rsidR="00A6202F">
              <w:t xml:space="preserve"> amends the Utilities Code to </w:t>
            </w:r>
            <w:r>
              <w:t>require e</w:t>
            </w:r>
            <w:r w:rsidRPr="009F02EA">
              <w:t>ach electric utility</w:t>
            </w:r>
            <w:r>
              <w:t xml:space="preserve">, transmission and </w:t>
            </w:r>
            <w:r>
              <w:t>distribution utility, electric cooperative,</w:t>
            </w:r>
            <w:r w:rsidRPr="009F02EA">
              <w:t xml:space="preserve"> and municipally owned utility </w:t>
            </w:r>
            <w:r>
              <w:t>to</w:t>
            </w:r>
            <w:r w:rsidRPr="009F02EA">
              <w:t xml:space="preserve"> provide the utility's service area boundary map</w:t>
            </w:r>
            <w:r>
              <w:t>, using good faith efforts,</w:t>
            </w:r>
            <w:r w:rsidRPr="009F02EA">
              <w:t xml:space="preserve"> </w:t>
            </w:r>
            <w:r>
              <w:t xml:space="preserve">in either </w:t>
            </w:r>
            <w:r w:rsidRPr="009F02EA">
              <w:t xml:space="preserve">a geodatabase feature class or shapefile format to the </w:t>
            </w:r>
            <w:r>
              <w:t>Public Utility C</w:t>
            </w:r>
            <w:r w:rsidRPr="009F02EA">
              <w:t>ommission</w:t>
            </w:r>
            <w:r>
              <w:t xml:space="preserve"> of Texas (PUC</w:t>
            </w:r>
            <w:r>
              <w:t>). The bill requires the PUC to mandate compliance with this requirement not later than September 30, 2023.</w:t>
            </w:r>
          </w:p>
          <w:p w14:paraId="7447E5F0" w14:textId="77777777" w:rsidR="00B51D38" w:rsidRDefault="00B51D38" w:rsidP="00BA0F39">
            <w:pPr>
              <w:pStyle w:val="Header"/>
              <w:tabs>
                <w:tab w:val="clear" w:pos="4320"/>
                <w:tab w:val="clear" w:pos="8640"/>
              </w:tabs>
              <w:jc w:val="both"/>
            </w:pPr>
          </w:p>
          <w:p w14:paraId="782BAB7D" w14:textId="7E79804B" w:rsidR="00B51D38" w:rsidRPr="00B51D38" w:rsidRDefault="00510441" w:rsidP="00BA0F39">
            <w:pPr>
              <w:pStyle w:val="Header"/>
              <w:jc w:val="both"/>
            </w:pPr>
            <w:r>
              <w:t>S.B. 1093</w:t>
            </w:r>
            <w:r w:rsidRPr="00B51D38">
              <w:t xml:space="preserve"> does the following with respect to the Texas Electricity Supply Chain Security and</w:t>
            </w:r>
            <w:r w:rsidR="00224783">
              <w:t xml:space="preserve"> </w:t>
            </w:r>
            <w:r w:rsidRPr="00B51D38">
              <w:t xml:space="preserve">Mapping Committee: </w:t>
            </w:r>
          </w:p>
          <w:p w14:paraId="3E5EC57C" w14:textId="36A5B794" w:rsidR="00B51D38" w:rsidRPr="00B51D38" w:rsidRDefault="00510441" w:rsidP="00BA0F39">
            <w:pPr>
              <w:pStyle w:val="Header"/>
              <w:numPr>
                <w:ilvl w:val="0"/>
                <w:numId w:val="2"/>
              </w:numPr>
              <w:jc w:val="both"/>
            </w:pPr>
            <w:r w:rsidRPr="00B51D38">
              <w:t>classif</w:t>
            </w:r>
            <w:r w:rsidR="00B955C4">
              <w:t>ies</w:t>
            </w:r>
            <w:r w:rsidRPr="00B51D38">
              <w:t xml:space="preserve"> roads</w:t>
            </w:r>
            <w:r w:rsidRPr="00B51D38">
              <w:t xml:space="preserve"> necessary to access facilities in the electricity supply chain as part of that supply chain; </w:t>
            </w:r>
          </w:p>
          <w:p w14:paraId="54CAEF40" w14:textId="35C2B17E" w:rsidR="00B51D38" w:rsidRPr="00B51D38" w:rsidRDefault="00510441" w:rsidP="00BA0F39">
            <w:pPr>
              <w:pStyle w:val="Header"/>
              <w:numPr>
                <w:ilvl w:val="0"/>
                <w:numId w:val="2"/>
              </w:numPr>
              <w:jc w:val="both"/>
            </w:pPr>
            <w:r w:rsidRPr="00B51D38">
              <w:t>establish</w:t>
            </w:r>
            <w:r w:rsidR="00B955C4">
              <w:t>es</w:t>
            </w:r>
            <w:r w:rsidRPr="00B51D38">
              <w:t xml:space="preserve"> that a reference in state law governing the committee to the "electricity supply chain" includes water and wastewater treatment plants;</w:t>
            </w:r>
          </w:p>
          <w:p w14:paraId="084955DA" w14:textId="23A99729" w:rsidR="00B51D38" w:rsidRDefault="00510441" w:rsidP="00BA0F39">
            <w:pPr>
              <w:pStyle w:val="Header"/>
              <w:numPr>
                <w:ilvl w:val="0"/>
                <w:numId w:val="2"/>
              </w:numPr>
            </w:pPr>
            <w:r w:rsidRPr="00B51D38">
              <w:t>include</w:t>
            </w:r>
            <w:r w:rsidR="00B955C4">
              <w:t>s</w:t>
            </w:r>
            <w:r w:rsidRPr="00B51D38">
              <w:t xml:space="preserve"> the </w:t>
            </w:r>
            <w:r w:rsidRPr="00B51D38">
              <w:t>executive director of the Texas Department of Transportation (TxDOT) as a member of the committee; and</w:t>
            </w:r>
          </w:p>
          <w:p w14:paraId="45AA9E3B" w14:textId="46A0BC5E" w:rsidR="00CD638E" w:rsidRPr="00B51D38" w:rsidRDefault="00510441" w:rsidP="00BA0F39">
            <w:pPr>
              <w:pStyle w:val="Header"/>
              <w:numPr>
                <w:ilvl w:val="0"/>
                <w:numId w:val="2"/>
              </w:numPr>
            </w:pPr>
            <w:r w:rsidRPr="00B51D38">
              <w:t>include</w:t>
            </w:r>
            <w:r w:rsidR="00EC29B0">
              <w:t>s</w:t>
            </w:r>
            <w:r w:rsidRPr="00B51D38">
              <w:t xml:space="preserve"> TxDOT among the agencies required to provide staff as necessary to assist the committee in carrying out its duties and responsibilities.</w:t>
            </w:r>
          </w:p>
          <w:p w14:paraId="41233B5F" w14:textId="33D9C20F" w:rsidR="009C36CD" w:rsidRDefault="009C36CD" w:rsidP="00BA0F39">
            <w:pPr>
              <w:pStyle w:val="Header"/>
              <w:tabs>
                <w:tab w:val="clear" w:pos="4320"/>
                <w:tab w:val="clear" w:pos="8640"/>
              </w:tabs>
              <w:jc w:val="both"/>
            </w:pPr>
          </w:p>
          <w:p w14:paraId="16D70CB9" w14:textId="72788D7B" w:rsidR="00A01000" w:rsidRDefault="00510441" w:rsidP="00BA0F39">
            <w:pPr>
              <w:pStyle w:val="Header"/>
              <w:tabs>
                <w:tab w:val="clear" w:pos="4320"/>
                <w:tab w:val="clear" w:pos="8640"/>
              </w:tabs>
              <w:jc w:val="both"/>
            </w:pPr>
            <w:r>
              <w:t>S.B. 1</w:t>
            </w:r>
            <w:r>
              <w:t>093 revises the committee's duty to establish best practices to prepare facilities in the electricity supply chain to maintain service in an extreme weather event by removing the specification that those facilities are facilities that provide electric serv</w:t>
            </w:r>
            <w:r>
              <w:t xml:space="preserve">ice and natural gas service. </w:t>
            </w:r>
          </w:p>
          <w:p w14:paraId="0252D80B" w14:textId="77777777" w:rsidR="00A01000" w:rsidRDefault="00A01000" w:rsidP="00BA0F39">
            <w:pPr>
              <w:pStyle w:val="Header"/>
              <w:tabs>
                <w:tab w:val="clear" w:pos="4320"/>
                <w:tab w:val="clear" w:pos="8640"/>
              </w:tabs>
              <w:jc w:val="both"/>
            </w:pPr>
          </w:p>
          <w:p w14:paraId="62909BFE" w14:textId="2F2FB4F1" w:rsidR="008E6446" w:rsidRDefault="00510441" w:rsidP="00BA0F39">
            <w:pPr>
              <w:pStyle w:val="Header"/>
              <w:tabs>
                <w:tab w:val="clear" w:pos="4320"/>
                <w:tab w:val="clear" w:pos="8640"/>
              </w:tabs>
              <w:jc w:val="both"/>
            </w:pPr>
            <w:r>
              <w:t>S.B. 1093</w:t>
            </w:r>
            <w:r w:rsidR="00A6202F">
              <w:t xml:space="preserve"> requires the committee to </w:t>
            </w:r>
            <w:r w:rsidR="00A6202F" w:rsidRPr="00A6202F">
              <w:t>provide</w:t>
            </w:r>
            <w:r w:rsidR="00B955C4">
              <w:t>, on request,</w:t>
            </w:r>
            <w:r w:rsidR="00A6202F" w:rsidRPr="00A6202F">
              <w:t xml:space="preserve"> view-only access to the electricity supply chain map to</w:t>
            </w:r>
            <w:r w:rsidR="00CD638E">
              <w:t xml:space="preserve"> the following entities</w:t>
            </w:r>
            <w:r w:rsidR="00A6202F">
              <w:t>:</w:t>
            </w:r>
          </w:p>
          <w:p w14:paraId="036D0549" w14:textId="77777777" w:rsidR="00A6202F" w:rsidRDefault="00510441" w:rsidP="00BA0F39">
            <w:pPr>
              <w:pStyle w:val="Header"/>
              <w:numPr>
                <w:ilvl w:val="0"/>
                <w:numId w:val="1"/>
              </w:numPr>
              <w:jc w:val="both"/>
            </w:pPr>
            <w:r>
              <w:t xml:space="preserve">an electric utility, a transmission and distribution utility, an electric </w:t>
            </w:r>
            <w:r>
              <w:t>cooperative, or a municipally owned utility;</w:t>
            </w:r>
          </w:p>
          <w:p w14:paraId="5BF4DB70" w14:textId="244D62B4" w:rsidR="00A6202F" w:rsidRDefault="00510441" w:rsidP="00BA0F39">
            <w:pPr>
              <w:pStyle w:val="Header"/>
              <w:numPr>
                <w:ilvl w:val="0"/>
                <w:numId w:val="1"/>
              </w:numPr>
              <w:jc w:val="both"/>
            </w:pPr>
            <w:r>
              <w:t>an operator of a gas supply chain facility; or</w:t>
            </w:r>
          </w:p>
          <w:p w14:paraId="75DF54BC" w14:textId="0322A4B4" w:rsidR="00A6202F" w:rsidRDefault="00510441" w:rsidP="00BA0F39">
            <w:pPr>
              <w:pStyle w:val="Header"/>
              <w:numPr>
                <w:ilvl w:val="0"/>
                <w:numId w:val="1"/>
              </w:numPr>
              <w:tabs>
                <w:tab w:val="clear" w:pos="4320"/>
                <w:tab w:val="clear" w:pos="8640"/>
              </w:tabs>
              <w:jc w:val="both"/>
            </w:pPr>
            <w:r>
              <w:t>an operator of a gas pipeline facility.</w:t>
            </w:r>
          </w:p>
          <w:p w14:paraId="21D985A1" w14:textId="1FFCC485" w:rsidR="00072503" w:rsidRPr="009C36CD" w:rsidRDefault="00510441" w:rsidP="00BA0F39">
            <w:pPr>
              <w:pStyle w:val="Header"/>
              <w:tabs>
                <w:tab w:val="clear" w:pos="4320"/>
                <w:tab w:val="clear" w:pos="8640"/>
              </w:tabs>
              <w:jc w:val="both"/>
            </w:pPr>
            <w:r>
              <w:t xml:space="preserve">The bill </w:t>
            </w:r>
            <w:r w:rsidR="00CD638E">
              <w:t>conditions</w:t>
            </w:r>
            <w:r>
              <w:t xml:space="preserve"> access </w:t>
            </w:r>
            <w:r w:rsidRPr="007E4FFB">
              <w:t xml:space="preserve">to the map by </w:t>
            </w:r>
            <w:r w:rsidR="00CD638E">
              <w:t xml:space="preserve">a utility or electric </w:t>
            </w:r>
            <w:r w:rsidR="004F71A8">
              <w:t xml:space="preserve">cooperative </w:t>
            </w:r>
            <w:r w:rsidR="00CD638E">
              <w:t>on that</w:t>
            </w:r>
            <w:r w:rsidRPr="007E4FFB">
              <w:t xml:space="preserve"> entity</w:t>
            </w:r>
            <w:r>
              <w:t xml:space="preserve"> </w:t>
            </w:r>
            <w:r w:rsidR="00CD638E">
              <w:t xml:space="preserve">complying with the requirement to provide certain maps to the PUC and </w:t>
            </w:r>
            <w:r>
              <w:t>limit</w:t>
            </w:r>
            <w:r w:rsidR="00CD638E">
              <w:t>s the entity's access</w:t>
            </w:r>
            <w:r>
              <w:t xml:space="preserve"> to the </w:t>
            </w:r>
            <w:r w:rsidRPr="007E4FFB">
              <w:t>critical natural gas facilities on the map that are located in the requesting entity's service area.</w:t>
            </w:r>
            <w:r>
              <w:t xml:space="preserve"> The bill </w:t>
            </w:r>
            <w:r w:rsidR="00CD638E">
              <w:t>limits a facility operator's</w:t>
            </w:r>
            <w:r>
              <w:t xml:space="preserve"> </w:t>
            </w:r>
            <w:r w:rsidR="00CD638E">
              <w:t>a</w:t>
            </w:r>
            <w:r>
              <w:t xml:space="preserve">ccess to the map to </w:t>
            </w:r>
            <w:r w:rsidRPr="00072503">
              <w:t>the critical natural gas f</w:t>
            </w:r>
            <w:r w:rsidRPr="00072503">
              <w:t xml:space="preserve">acilities </w:t>
            </w:r>
            <w:r w:rsidR="00C97C28">
              <w:t xml:space="preserve">operated </w:t>
            </w:r>
            <w:r w:rsidRPr="00072503">
              <w:t>by the requesting operator.</w:t>
            </w:r>
          </w:p>
          <w:p w14:paraId="7FA97876" w14:textId="77777777" w:rsidR="008423E4" w:rsidRPr="00835628" w:rsidRDefault="008423E4" w:rsidP="00BA0F39">
            <w:pPr>
              <w:rPr>
                <w:b/>
              </w:rPr>
            </w:pPr>
          </w:p>
        </w:tc>
      </w:tr>
      <w:tr w:rsidR="00E160C9" w14:paraId="3ACCC235" w14:textId="77777777" w:rsidTr="00345119">
        <w:tc>
          <w:tcPr>
            <w:tcW w:w="9576" w:type="dxa"/>
          </w:tcPr>
          <w:p w14:paraId="62388D7E" w14:textId="77777777" w:rsidR="008423E4" w:rsidRPr="00A8133F" w:rsidRDefault="00510441" w:rsidP="00BA0F39">
            <w:pPr>
              <w:rPr>
                <w:b/>
              </w:rPr>
            </w:pPr>
            <w:r w:rsidRPr="009C1E9A">
              <w:rPr>
                <w:b/>
                <w:u w:val="single"/>
              </w:rPr>
              <w:t>EFFECTIVE DATE</w:t>
            </w:r>
            <w:r>
              <w:rPr>
                <w:b/>
              </w:rPr>
              <w:t xml:space="preserve"> </w:t>
            </w:r>
          </w:p>
          <w:p w14:paraId="2E99033A" w14:textId="77777777" w:rsidR="008423E4" w:rsidRDefault="008423E4" w:rsidP="00BA0F39"/>
          <w:p w14:paraId="3F1D837D" w14:textId="700FB6C8" w:rsidR="008423E4" w:rsidRPr="003624F2" w:rsidRDefault="00510441" w:rsidP="00BA0F39">
            <w:pPr>
              <w:pStyle w:val="Header"/>
              <w:tabs>
                <w:tab w:val="clear" w:pos="4320"/>
                <w:tab w:val="clear" w:pos="8640"/>
              </w:tabs>
              <w:jc w:val="both"/>
            </w:pPr>
            <w:r>
              <w:t>On passage, or, if the bill does not receive the necessary vote, September 1, 2023.</w:t>
            </w:r>
          </w:p>
          <w:p w14:paraId="6A4A2DD2" w14:textId="77777777" w:rsidR="008423E4" w:rsidRPr="00233FDB" w:rsidRDefault="008423E4" w:rsidP="00BA0F39">
            <w:pPr>
              <w:rPr>
                <w:b/>
              </w:rPr>
            </w:pPr>
          </w:p>
        </w:tc>
      </w:tr>
    </w:tbl>
    <w:p w14:paraId="5C433AD4" w14:textId="77777777" w:rsidR="008423E4" w:rsidRPr="00BE0E75" w:rsidRDefault="008423E4" w:rsidP="00BA0F39">
      <w:pPr>
        <w:jc w:val="both"/>
        <w:rPr>
          <w:rFonts w:ascii="Arial" w:hAnsi="Arial"/>
          <w:sz w:val="16"/>
          <w:szCs w:val="16"/>
        </w:rPr>
      </w:pPr>
    </w:p>
    <w:p w14:paraId="1A34AD1C" w14:textId="77777777" w:rsidR="004108C3" w:rsidRPr="008423E4" w:rsidRDefault="004108C3" w:rsidP="00BA0F3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D401" w14:textId="77777777" w:rsidR="00000000" w:rsidRDefault="00510441">
      <w:r>
        <w:separator/>
      </w:r>
    </w:p>
  </w:endnote>
  <w:endnote w:type="continuationSeparator" w:id="0">
    <w:p w14:paraId="1D4FE88B" w14:textId="77777777" w:rsidR="00000000" w:rsidRDefault="0051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1E8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160C9" w14:paraId="110F4D97" w14:textId="77777777" w:rsidTr="009C1E9A">
      <w:trPr>
        <w:cantSplit/>
      </w:trPr>
      <w:tc>
        <w:tcPr>
          <w:tcW w:w="0" w:type="pct"/>
        </w:tcPr>
        <w:p w14:paraId="4A676749" w14:textId="77777777" w:rsidR="00137D90" w:rsidRDefault="00137D90" w:rsidP="009C1E9A">
          <w:pPr>
            <w:pStyle w:val="Footer"/>
            <w:tabs>
              <w:tab w:val="clear" w:pos="8640"/>
              <w:tab w:val="right" w:pos="9360"/>
            </w:tabs>
          </w:pPr>
        </w:p>
      </w:tc>
      <w:tc>
        <w:tcPr>
          <w:tcW w:w="2395" w:type="pct"/>
        </w:tcPr>
        <w:p w14:paraId="7BF24384" w14:textId="77777777" w:rsidR="00137D90" w:rsidRDefault="00137D90" w:rsidP="009C1E9A">
          <w:pPr>
            <w:pStyle w:val="Footer"/>
            <w:tabs>
              <w:tab w:val="clear" w:pos="8640"/>
              <w:tab w:val="right" w:pos="9360"/>
            </w:tabs>
          </w:pPr>
        </w:p>
        <w:p w14:paraId="181523A7" w14:textId="77777777" w:rsidR="001A4310" w:rsidRDefault="001A4310" w:rsidP="009C1E9A">
          <w:pPr>
            <w:pStyle w:val="Footer"/>
            <w:tabs>
              <w:tab w:val="clear" w:pos="8640"/>
              <w:tab w:val="right" w:pos="9360"/>
            </w:tabs>
          </w:pPr>
        </w:p>
        <w:p w14:paraId="7E058B84" w14:textId="77777777" w:rsidR="00137D90" w:rsidRDefault="00137D90" w:rsidP="009C1E9A">
          <w:pPr>
            <w:pStyle w:val="Footer"/>
            <w:tabs>
              <w:tab w:val="clear" w:pos="8640"/>
              <w:tab w:val="right" w:pos="9360"/>
            </w:tabs>
          </w:pPr>
        </w:p>
      </w:tc>
      <w:tc>
        <w:tcPr>
          <w:tcW w:w="2453" w:type="pct"/>
        </w:tcPr>
        <w:p w14:paraId="35C63C97" w14:textId="77777777" w:rsidR="00137D90" w:rsidRDefault="00137D90" w:rsidP="009C1E9A">
          <w:pPr>
            <w:pStyle w:val="Footer"/>
            <w:tabs>
              <w:tab w:val="clear" w:pos="8640"/>
              <w:tab w:val="right" w:pos="9360"/>
            </w:tabs>
            <w:jc w:val="right"/>
          </w:pPr>
        </w:p>
      </w:tc>
    </w:tr>
    <w:tr w:rsidR="00E160C9" w14:paraId="744C09F6" w14:textId="77777777" w:rsidTr="009C1E9A">
      <w:trPr>
        <w:cantSplit/>
      </w:trPr>
      <w:tc>
        <w:tcPr>
          <w:tcW w:w="0" w:type="pct"/>
        </w:tcPr>
        <w:p w14:paraId="13206071" w14:textId="77777777" w:rsidR="00EC379B" w:rsidRDefault="00EC379B" w:rsidP="009C1E9A">
          <w:pPr>
            <w:pStyle w:val="Footer"/>
            <w:tabs>
              <w:tab w:val="clear" w:pos="8640"/>
              <w:tab w:val="right" w:pos="9360"/>
            </w:tabs>
          </w:pPr>
        </w:p>
      </w:tc>
      <w:tc>
        <w:tcPr>
          <w:tcW w:w="2395" w:type="pct"/>
        </w:tcPr>
        <w:p w14:paraId="5C208692" w14:textId="035CB303" w:rsidR="00EC379B" w:rsidRPr="009C1E9A" w:rsidRDefault="00510441" w:rsidP="009C1E9A">
          <w:pPr>
            <w:pStyle w:val="Footer"/>
            <w:tabs>
              <w:tab w:val="clear" w:pos="8640"/>
              <w:tab w:val="right" w:pos="9360"/>
            </w:tabs>
            <w:rPr>
              <w:rFonts w:ascii="Shruti" w:hAnsi="Shruti"/>
              <w:sz w:val="22"/>
            </w:rPr>
          </w:pPr>
          <w:r>
            <w:rPr>
              <w:rFonts w:ascii="Shruti" w:hAnsi="Shruti"/>
              <w:sz w:val="22"/>
            </w:rPr>
            <w:t>88R 27246-D</w:t>
          </w:r>
        </w:p>
      </w:tc>
      <w:tc>
        <w:tcPr>
          <w:tcW w:w="2453" w:type="pct"/>
        </w:tcPr>
        <w:p w14:paraId="66D77FBB" w14:textId="76B021E3" w:rsidR="00EC379B" w:rsidRDefault="00510441" w:rsidP="009C1E9A">
          <w:pPr>
            <w:pStyle w:val="Footer"/>
            <w:tabs>
              <w:tab w:val="clear" w:pos="8640"/>
              <w:tab w:val="right" w:pos="9360"/>
            </w:tabs>
            <w:jc w:val="right"/>
          </w:pPr>
          <w:r>
            <w:fldChar w:fldCharType="begin"/>
          </w:r>
          <w:r>
            <w:instrText xml:space="preserve"> DOCPROPERTY  OTID  \* MERGEFORMAT </w:instrText>
          </w:r>
          <w:r>
            <w:fldChar w:fldCharType="separate"/>
          </w:r>
          <w:r w:rsidR="0035318F">
            <w:t>23.120.613</w:t>
          </w:r>
          <w:r>
            <w:fldChar w:fldCharType="end"/>
          </w:r>
        </w:p>
      </w:tc>
    </w:tr>
    <w:tr w:rsidR="00E160C9" w14:paraId="2F49A5BC" w14:textId="77777777" w:rsidTr="009C1E9A">
      <w:trPr>
        <w:cantSplit/>
      </w:trPr>
      <w:tc>
        <w:tcPr>
          <w:tcW w:w="0" w:type="pct"/>
        </w:tcPr>
        <w:p w14:paraId="24272B30" w14:textId="77777777" w:rsidR="00EC379B" w:rsidRDefault="00EC379B" w:rsidP="009C1E9A">
          <w:pPr>
            <w:pStyle w:val="Footer"/>
            <w:tabs>
              <w:tab w:val="clear" w:pos="4320"/>
              <w:tab w:val="clear" w:pos="8640"/>
              <w:tab w:val="left" w:pos="2865"/>
            </w:tabs>
          </w:pPr>
        </w:p>
      </w:tc>
      <w:tc>
        <w:tcPr>
          <w:tcW w:w="2395" w:type="pct"/>
        </w:tcPr>
        <w:p w14:paraId="0DB09DF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BA9CCAD" w14:textId="77777777" w:rsidR="00EC379B" w:rsidRDefault="00EC379B" w:rsidP="006D504F">
          <w:pPr>
            <w:pStyle w:val="Footer"/>
            <w:rPr>
              <w:rStyle w:val="PageNumber"/>
            </w:rPr>
          </w:pPr>
        </w:p>
        <w:p w14:paraId="4C1DD38D" w14:textId="77777777" w:rsidR="00EC379B" w:rsidRDefault="00EC379B" w:rsidP="009C1E9A">
          <w:pPr>
            <w:pStyle w:val="Footer"/>
            <w:tabs>
              <w:tab w:val="clear" w:pos="8640"/>
              <w:tab w:val="right" w:pos="9360"/>
            </w:tabs>
            <w:jc w:val="right"/>
          </w:pPr>
        </w:p>
      </w:tc>
    </w:tr>
    <w:tr w:rsidR="00E160C9" w14:paraId="3E053FD9" w14:textId="77777777" w:rsidTr="009C1E9A">
      <w:trPr>
        <w:cantSplit/>
        <w:trHeight w:val="323"/>
      </w:trPr>
      <w:tc>
        <w:tcPr>
          <w:tcW w:w="0" w:type="pct"/>
          <w:gridSpan w:val="3"/>
        </w:tcPr>
        <w:p w14:paraId="3767EB26" w14:textId="77777777" w:rsidR="00EC379B" w:rsidRDefault="0051044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8B4E015" w14:textId="77777777" w:rsidR="00EC379B" w:rsidRDefault="00EC379B" w:rsidP="009C1E9A">
          <w:pPr>
            <w:pStyle w:val="Footer"/>
            <w:tabs>
              <w:tab w:val="clear" w:pos="8640"/>
              <w:tab w:val="right" w:pos="9360"/>
            </w:tabs>
            <w:jc w:val="center"/>
          </w:pPr>
        </w:p>
      </w:tc>
    </w:tr>
  </w:tbl>
  <w:p w14:paraId="6A6F46D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2C9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D30B" w14:textId="77777777" w:rsidR="00000000" w:rsidRDefault="00510441">
      <w:r>
        <w:separator/>
      </w:r>
    </w:p>
  </w:footnote>
  <w:footnote w:type="continuationSeparator" w:id="0">
    <w:p w14:paraId="2841B9E4" w14:textId="77777777" w:rsidR="00000000" w:rsidRDefault="0051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BFC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970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A36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1029"/>
    <w:multiLevelType w:val="hybridMultilevel"/>
    <w:tmpl w:val="2DA6A5AA"/>
    <w:lvl w:ilvl="0" w:tplc="FA704386">
      <w:start w:val="1"/>
      <w:numFmt w:val="bullet"/>
      <w:lvlText w:val=""/>
      <w:lvlJc w:val="left"/>
      <w:pPr>
        <w:tabs>
          <w:tab w:val="num" w:pos="720"/>
        </w:tabs>
        <w:ind w:left="720" w:hanging="360"/>
      </w:pPr>
      <w:rPr>
        <w:rFonts w:ascii="Symbol" w:hAnsi="Symbol" w:hint="default"/>
      </w:rPr>
    </w:lvl>
    <w:lvl w:ilvl="1" w:tplc="F01AA28A" w:tentative="1">
      <w:start w:val="1"/>
      <w:numFmt w:val="bullet"/>
      <w:lvlText w:val="o"/>
      <w:lvlJc w:val="left"/>
      <w:pPr>
        <w:ind w:left="1440" w:hanging="360"/>
      </w:pPr>
      <w:rPr>
        <w:rFonts w:ascii="Courier New" w:hAnsi="Courier New" w:cs="Courier New" w:hint="default"/>
      </w:rPr>
    </w:lvl>
    <w:lvl w:ilvl="2" w:tplc="222EB0C6" w:tentative="1">
      <w:start w:val="1"/>
      <w:numFmt w:val="bullet"/>
      <w:lvlText w:val=""/>
      <w:lvlJc w:val="left"/>
      <w:pPr>
        <w:ind w:left="2160" w:hanging="360"/>
      </w:pPr>
      <w:rPr>
        <w:rFonts w:ascii="Wingdings" w:hAnsi="Wingdings" w:hint="default"/>
      </w:rPr>
    </w:lvl>
    <w:lvl w:ilvl="3" w:tplc="26DE874C" w:tentative="1">
      <w:start w:val="1"/>
      <w:numFmt w:val="bullet"/>
      <w:lvlText w:val=""/>
      <w:lvlJc w:val="left"/>
      <w:pPr>
        <w:ind w:left="2880" w:hanging="360"/>
      </w:pPr>
      <w:rPr>
        <w:rFonts w:ascii="Symbol" w:hAnsi="Symbol" w:hint="default"/>
      </w:rPr>
    </w:lvl>
    <w:lvl w:ilvl="4" w:tplc="E7A68104" w:tentative="1">
      <w:start w:val="1"/>
      <w:numFmt w:val="bullet"/>
      <w:lvlText w:val="o"/>
      <w:lvlJc w:val="left"/>
      <w:pPr>
        <w:ind w:left="3600" w:hanging="360"/>
      </w:pPr>
      <w:rPr>
        <w:rFonts w:ascii="Courier New" w:hAnsi="Courier New" w:cs="Courier New" w:hint="default"/>
      </w:rPr>
    </w:lvl>
    <w:lvl w:ilvl="5" w:tplc="190E821E" w:tentative="1">
      <w:start w:val="1"/>
      <w:numFmt w:val="bullet"/>
      <w:lvlText w:val=""/>
      <w:lvlJc w:val="left"/>
      <w:pPr>
        <w:ind w:left="4320" w:hanging="360"/>
      </w:pPr>
      <w:rPr>
        <w:rFonts w:ascii="Wingdings" w:hAnsi="Wingdings" w:hint="default"/>
      </w:rPr>
    </w:lvl>
    <w:lvl w:ilvl="6" w:tplc="2DA47282" w:tentative="1">
      <w:start w:val="1"/>
      <w:numFmt w:val="bullet"/>
      <w:lvlText w:val=""/>
      <w:lvlJc w:val="left"/>
      <w:pPr>
        <w:ind w:left="5040" w:hanging="360"/>
      </w:pPr>
      <w:rPr>
        <w:rFonts w:ascii="Symbol" w:hAnsi="Symbol" w:hint="default"/>
      </w:rPr>
    </w:lvl>
    <w:lvl w:ilvl="7" w:tplc="6ADA8806" w:tentative="1">
      <w:start w:val="1"/>
      <w:numFmt w:val="bullet"/>
      <w:lvlText w:val="o"/>
      <w:lvlJc w:val="left"/>
      <w:pPr>
        <w:ind w:left="5760" w:hanging="360"/>
      </w:pPr>
      <w:rPr>
        <w:rFonts w:ascii="Courier New" w:hAnsi="Courier New" w:cs="Courier New" w:hint="default"/>
      </w:rPr>
    </w:lvl>
    <w:lvl w:ilvl="8" w:tplc="C7D0EB28" w:tentative="1">
      <w:start w:val="1"/>
      <w:numFmt w:val="bullet"/>
      <w:lvlText w:val=""/>
      <w:lvlJc w:val="left"/>
      <w:pPr>
        <w:ind w:left="6480" w:hanging="360"/>
      </w:pPr>
      <w:rPr>
        <w:rFonts w:ascii="Wingdings" w:hAnsi="Wingdings" w:hint="default"/>
      </w:rPr>
    </w:lvl>
  </w:abstractNum>
  <w:abstractNum w:abstractNumId="1" w15:restartNumberingAfterBreak="0">
    <w:nsid w:val="398C016F"/>
    <w:multiLevelType w:val="hybridMultilevel"/>
    <w:tmpl w:val="4D4A8896"/>
    <w:lvl w:ilvl="0" w:tplc="A45CF91A">
      <w:start w:val="1"/>
      <w:numFmt w:val="bullet"/>
      <w:lvlText w:val=""/>
      <w:lvlJc w:val="left"/>
      <w:pPr>
        <w:tabs>
          <w:tab w:val="num" w:pos="720"/>
        </w:tabs>
        <w:ind w:left="720" w:hanging="360"/>
      </w:pPr>
      <w:rPr>
        <w:rFonts w:ascii="Symbol" w:hAnsi="Symbol" w:hint="default"/>
      </w:rPr>
    </w:lvl>
    <w:lvl w:ilvl="1" w:tplc="F4A62194" w:tentative="1">
      <w:start w:val="1"/>
      <w:numFmt w:val="bullet"/>
      <w:lvlText w:val="o"/>
      <w:lvlJc w:val="left"/>
      <w:pPr>
        <w:ind w:left="1440" w:hanging="360"/>
      </w:pPr>
      <w:rPr>
        <w:rFonts w:ascii="Courier New" w:hAnsi="Courier New" w:cs="Courier New" w:hint="default"/>
      </w:rPr>
    </w:lvl>
    <w:lvl w:ilvl="2" w:tplc="8FFC3DE4" w:tentative="1">
      <w:start w:val="1"/>
      <w:numFmt w:val="bullet"/>
      <w:lvlText w:val=""/>
      <w:lvlJc w:val="left"/>
      <w:pPr>
        <w:ind w:left="2160" w:hanging="360"/>
      </w:pPr>
      <w:rPr>
        <w:rFonts w:ascii="Wingdings" w:hAnsi="Wingdings" w:hint="default"/>
      </w:rPr>
    </w:lvl>
    <w:lvl w:ilvl="3" w:tplc="C7DE49A2" w:tentative="1">
      <w:start w:val="1"/>
      <w:numFmt w:val="bullet"/>
      <w:lvlText w:val=""/>
      <w:lvlJc w:val="left"/>
      <w:pPr>
        <w:ind w:left="2880" w:hanging="360"/>
      </w:pPr>
      <w:rPr>
        <w:rFonts w:ascii="Symbol" w:hAnsi="Symbol" w:hint="default"/>
      </w:rPr>
    </w:lvl>
    <w:lvl w:ilvl="4" w:tplc="5E68357A" w:tentative="1">
      <w:start w:val="1"/>
      <w:numFmt w:val="bullet"/>
      <w:lvlText w:val="o"/>
      <w:lvlJc w:val="left"/>
      <w:pPr>
        <w:ind w:left="3600" w:hanging="360"/>
      </w:pPr>
      <w:rPr>
        <w:rFonts w:ascii="Courier New" w:hAnsi="Courier New" w:cs="Courier New" w:hint="default"/>
      </w:rPr>
    </w:lvl>
    <w:lvl w:ilvl="5" w:tplc="F2543F42" w:tentative="1">
      <w:start w:val="1"/>
      <w:numFmt w:val="bullet"/>
      <w:lvlText w:val=""/>
      <w:lvlJc w:val="left"/>
      <w:pPr>
        <w:ind w:left="4320" w:hanging="360"/>
      </w:pPr>
      <w:rPr>
        <w:rFonts w:ascii="Wingdings" w:hAnsi="Wingdings" w:hint="default"/>
      </w:rPr>
    </w:lvl>
    <w:lvl w:ilvl="6" w:tplc="330CDF0C" w:tentative="1">
      <w:start w:val="1"/>
      <w:numFmt w:val="bullet"/>
      <w:lvlText w:val=""/>
      <w:lvlJc w:val="left"/>
      <w:pPr>
        <w:ind w:left="5040" w:hanging="360"/>
      </w:pPr>
      <w:rPr>
        <w:rFonts w:ascii="Symbol" w:hAnsi="Symbol" w:hint="default"/>
      </w:rPr>
    </w:lvl>
    <w:lvl w:ilvl="7" w:tplc="5316DFC8" w:tentative="1">
      <w:start w:val="1"/>
      <w:numFmt w:val="bullet"/>
      <w:lvlText w:val="o"/>
      <w:lvlJc w:val="left"/>
      <w:pPr>
        <w:ind w:left="5760" w:hanging="360"/>
      </w:pPr>
      <w:rPr>
        <w:rFonts w:ascii="Courier New" w:hAnsi="Courier New" w:cs="Courier New" w:hint="default"/>
      </w:rPr>
    </w:lvl>
    <w:lvl w:ilvl="8" w:tplc="897863D2" w:tentative="1">
      <w:start w:val="1"/>
      <w:numFmt w:val="bullet"/>
      <w:lvlText w:val=""/>
      <w:lvlJc w:val="left"/>
      <w:pPr>
        <w:ind w:left="6480" w:hanging="360"/>
      </w:pPr>
      <w:rPr>
        <w:rFonts w:ascii="Wingdings" w:hAnsi="Wingdings" w:hint="default"/>
      </w:rPr>
    </w:lvl>
  </w:abstractNum>
  <w:abstractNum w:abstractNumId="2" w15:restartNumberingAfterBreak="0">
    <w:nsid w:val="4F9C5A9C"/>
    <w:multiLevelType w:val="hybridMultilevel"/>
    <w:tmpl w:val="9B14B43C"/>
    <w:lvl w:ilvl="0" w:tplc="A7FCDC1E">
      <w:start w:val="1"/>
      <w:numFmt w:val="bullet"/>
      <w:lvlText w:val=""/>
      <w:lvlJc w:val="left"/>
      <w:pPr>
        <w:tabs>
          <w:tab w:val="num" w:pos="720"/>
        </w:tabs>
        <w:ind w:left="720" w:hanging="360"/>
      </w:pPr>
      <w:rPr>
        <w:rFonts w:ascii="Symbol" w:hAnsi="Symbol" w:hint="default"/>
      </w:rPr>
    </w:lvl>
    <w:lvl w:ilvl="1" w:tplc="2F0423DE" w:tentative="1">
      <w:start w:val="1"/>
      <w:numFmt w:val="bullet"/>
      <w:lvlText w:val="o"/>
      <w:lvlJc w:val="left"/>
      <w:pPr>
        <w:ind w:left="1440" w:hanging="360"/>
      </w:pPr>
      <w:rPr>
        <w:rFonts w:ascii="Courier New" w:hAnsi="Courier New" w:cs="Courier New" w:hint="default"/>
      </w:rPr>
    </w:lvl>
    <w:lvl w:ilvl="2" w:tplc="61CC3BC4" w:tentative="1">
      <w:start w:val="1"/>
      <w:numFmt w:val="bullet"/>
      <w:lvlText w:val=""/>
      <w:lvlJc w:val="left"/>
      <w:pPr>
        <w:ind w:left="2160" w:hanging="360"/>
      </w:pPr>
      <w:rPr>
        <w:rFonts w:ascii="Wingdings" w:hAnsi="Wingdings" w:hint="default"/>
      </w:rPr>
    </w:lvl>
    <w:lvl w:ilvl="3" w:tplc="355A4ACE" w:tentative="1">
      <w:start w:val="1"/>
      <w:numFmt w:val="bullet"/>
      <w:lvlText w:val=""/>
      <w:lvlJc w:val="left"/>
      <w:pPr>
        <w:ind w:left="2880" w:hanging="360"/>
      </w:pPr>
      <w:rPr>
        <w:rFonts w:ascii="Symbol" w:hAnsi="Symbol" w:hint="default"/>
      </w:rPr>
    </w:lvl>
    <w:lvl w:ilvl="4" w:tplc="2F16DD32" w:tentative="1">
      <w:start w:val="1"/>
      <w:numFmt w:val="bullet"/>
      <w:lvlText w:val="o"/>
      <w:lvlJc w:val="left"/>
      <w:pPr>
        <w:ind w:left="3600" w:hanging="360"/>
      </w:pPr>
      <w:rPr>
        <w:rFonts w:ascii="Courier New" w:hAnsi="Courier New" w:cs="Courier New" w:hint="default"/>
      </w:rPr>
    </w:lvl>
    <w:lvl w:ilvl="5" w:tplc="415A7F64" w:tentative="1">
      <w:start w:val="1"/>
      <w:numFmt w:val="bullet"/>
      <w:lvlText w:val=""/>
      <w:lvlJc w:val="left"/>
      <w:pPr>
        <w:ind w:left="4320" w:hanging="360"/>
      </w:pPr>
      <w:rPr>
        <w:rFonts w:ascii="Wingdings" w:hAnsi="Wingdings" w:hint="default"/>
      </w:rPr>
    </w:lvl>
    <w:lvl w:ilvl="6" w:tplc="980448E0" w:tentative="1">
      <w:start w:val="1"/>
      <w:numFmt w:val="bullet"/>
      <w:lvlText w:val=""/>
      <w:lvlJc w:val="left"/>
      <w:pPr>
        <w:ind w:left="5040" w:hanging="360"/>
      </w:pPr>
      <w:rPr>
        <w:rFonts w:ascii="Symbol" w:hAnsi="Symbol" w:hint="default"/>
      </w:rPr>
    </w:lvl>
    <w:lvl w:ilvl="7" w:tplc="1E4CBA38" w:tentative="1">
      <w:start w:val="1"/>
      <w:numFmt w:val="bullet"/>
      <w:lvlText w:val="o"/>
      <w:lvlJc w:val="left"/>
      <w:pPr>
        <w:ind w:left="5760" w:hanging="360"/>
      </w:pPr>
      <w:rPr>
        <w:rFonts w:ascii="Courier New" w:hAnsi="Courier New" w:cs="Courier New" w:hint="default"/>
      </w:rPr>
    </w:lvl>
    <w:lvl w:ilvl="8" w:tplc="8EC49866" w:tentative="1">
      <w:start w:val="1"/>
      <w:numFmt w:val="bullet"/>
      <w:lvlText w:val=""/>
      <w:lvlJc w:val="left"/>
      <w:pPr>
        <w:ind w:left="6480" w:hanging="360"/>
      </w:pPr>
      <w:rPr>
        <w:rFonts w:ascii="Wingdings" w:hAnsi="Wingdings" w:hint="default"/>
      </w:rPr>
    </w:lvl>
  </w:abstractNum>
  <w:num w:numId="1" w16cid:durableId="1762219572">
    <w:abstractNumId w:val="1"/>
  </w:num>
  <w:num w:numId="2" w16cid:durableId="1366562747">
    <w:abstractNumId w:val="2"/>
  </w:num>
  <w:num w:numId="3" w16cid:durableId="171731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7C"/>
    <w:rsid w:val="00000A70"/>
    <w:rsid w:val="000032B8"/>
    <w:rsid w:val="00003B06"/>
    <w:rsid w:val="00005480"/>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2503"/>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6B35"/>
    <w:rsid w:val="00137D90"/>
    <w:rsid w:val="00141FB6"/>
    <w:rsid w:val="00142F8E"/>
    <w:rsid w:val="00143C8B"/>
    <w:rsid w:val="00147530"/>
    <w:rsid w:val="0015331F"/>
    <w:rsid w:val="00156AB2"/>
    <w:rsid w:val="00160402"/>
    <w:rsid w:val="00160571"/>
    <w:rsid w:val="00161C7C"/>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2A2"/>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783"/>
    <w:rsid w:val="00224C37"/>
    <w:rsid w:val="00224C85"/>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1B6"/>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18F"/>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C3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1A8"/>
    <w:rsid w:val="00500121"/>
    <w:rsid w:val="005017AC"/>
    <w:rsid w:val="00501E8A"/>
    <w:rsid w:val="00505121"/>
    <w:rsid w:val="00505C04"/>
    <w:rsid w:val="00505F1B"/>
    <w:rsid w:val="005073E8"/>
    <w:rsid w:val="00510441"/>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7BF9"/>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2EA"/>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4FFB"/>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6446"/>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C85"/>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02EA"/>
    <w:rsid w:val="009F1B37"/>
    <w:rsid w:val="009F4B4A"/>
    <w:rsid w:val="009F4EB0"/>
    <w:rsid w:val="009F4F2B"/>
    <w:rsid w:val="009F513E"/>
    <w:rsid w:val="009F5802"/>
    <w:rsid w:val="009F64AE"/>
    <w:rsid w:val="00A0042D"/>
    <w:rsid w:val="00A0053A"/>
    <w:rsid w:val="00A00C33"/>
    <w:rsid w:val="00A01000"/>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28B9"/>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02F"/>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1D38"/>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7FD"/>
    <w:rsid w:val="00B955C4"/>
    <w:rsid w:val="00B95BC8"/>
    <w:rsid w:val="00B96E87"/>
    <w:rsid w:val="00BA0F39"/>
    <w:rsid w:val="00BA146A"/>
    <w:rsid w:val="00BA32EE"/>
    <w:rsid w:val="00BA5456"/>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C28"/>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38E"/>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86B"/>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0C9"/>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29B0"/>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56C7"/>
    <w:rsid w:val="00FB73AE"/>
    <w:rsid w:val="00FC5388"/>
    <w:rsid w:val="00FC726C"/>
    <w:rsid w:val="00FD1B4B"/>
    <w:rsid w:val="00FD1B94"/>
    <w:rsid w:val="00FE19C5"/>
    <w:rsid w:val="00FE1E9C"/>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CCF38B-EAF2-40DA-BD45-73FA08A7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E6446"/>
    <w:rPr>
      <w:sz w:val="16"/>
      <w:szCs w:val="16"/>
    </w:rPr>
  </w:style>
  <w:style w:type="paragraph" w:styleId="CommentText">
    <w:name w:val="annotation text"/>
    <w:basedOn w:val="Normal"/>
    <w:link w:val="CommentTextChar"/>
    <w:semiHidden/>
    <w:unhideWhenUsed/>
    <w:rsid w:val="008E6446"/>
    <w:rPr>
      <w:sz w:val="20"/>
      <w:szCs w:val="20"/>
    </w:rPr>
  </w:style>
  <w:style w:type="character" w:customStyle="1" w:styleId="CommentTextChar">
    <w:name w:val="Comment Text Char"/>
    <w:basedOn w:val="DefaultParagraphFont"/>
    <w:link w:val="CommentText"/>
    <w:semiHidden/>
    <w:rsid w:val="008E6446"/>
  </w:style>
  <w:style w:type="paragraph" w:styleId="CommentSubject">
    <w:name w:val="annotation subject"/>
    <w:basedOn w:val="CommentText"/>
    <w:next w:val="CommentText"/>
    <w:link w:val="CommentSubjectChar"/>
    <w:semiHidden/>
    <w:unhideWhenUsed/>
    <w:rsid w:val="008E6446"/>
    <w:rPr>
      <w:b/>
      <w:bCs/>
    </w:rPr>
  </w:style>
  <w:style w:type="character" w:customStyle="1" w:styleId="CommentSubjectChar">
    <w:name w:val="Comment Subject Char"/>
    <w:basedOn w:val="CommentTextChar"/>
    <w:link w:val="CommentSubject"/>
    <w:semiHidden/>
    <w:rsid w:val="008E6446"/>
    <w:rPr>
      <w:b/>
      <w:bCs/>
    </w:rPr>
  </w:style>
  <w:style w:type="paragraph" w:styleId="Revision">
    <w:name w:val="Revision"/>
    <w:hidden/>
    <w:uiPriority w:val="99"/>
    <w:semiHidden/>
    <w:rsid w:val="002A51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4044</Characters>
  <Application>Microsoft Office Word</Application>
  <DocSecurity>4</DocSecurity>
  <Lines>90</Lines>
  <Paragraphs>28</Paragraphs>
  <ScaleCrop>false</ScaleCrop>
  <HeadingPairs>
    <vt:vector size="2" baseType="variant">
      <vt:variant>
        <vt:lpstr>Title</vt:lpstr>
      </vt:variant>
      <vt:variant>
        <vt:i4>1</vt:i4>
      </vt:variant>
    </vt:vector>
  </HeadingPairs>
  <TitlesOfParts>
    <vt:vector size="1" baseType="lpstr">
      <vt:lpstr>BA - SB01093 (Committee Report (Unamended))</vt:lpstr>
    </vt:vector>
  </TitlesOfParts>
  <Company>State of Texas</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27246</dc:subject>
  <dc:creator>State of Texas</dc:creator>
  <dc:description>SB 1093 by Schwertner-(H)State Affairs</dc:description>
  <cp:lastModifiedBy>Stacey Nicchio</cp:lastModifiedBy>
  <cp:revision>2</cp:revision>
  <cp:lastPrinted>2003-11-26T17:21:00Z</cp:lastPrinted>
  <dcterms:created xsi:type="dcterms:W3CDTF">2023-05-01T21:34:00Z</dcterms:created>
  <dcterms:modified xsi:type="dcterms:W3CDTF">2023-05-01T21:34:00Z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23.120.613</vt:lpwstr>
  </property>
</Properties>
</file>