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9F9" w:rsidRDefault="008F09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3E3748830A40A98899779C5AE7C134"/>
          </w:placeholder>
        </w:sdtPr>
        <w:sdtContent>
          <w:r w:rsidRPr="005C2A78">
            <w:rPr>
              <w:rFonts w:cs="Times New Roman"/>
              <w:b/>
              <w:szCs w:val="24"/>
              <w:u w:val="single"/>
            </w:rPr>
            <w:t>BILL ANALYSIS</w:t>
          </w:r>
        </w:sdtContent>
      </w:sdt>
    </w:p>
    <w:p w:rsidR="008F09F9" w:rsidRPr="00585C31" w:rsidRDefault="008F09F9" w:rsidP="000F1DF9">
      <w:pPr>
        <w:spacing w:after="0" w:line="240" w:lineRule="auto"/>
        <w:rPr>
          <w:rFonts w:cs="Times New Roman"/>
          <w:szCs w:val="24"/>
        </w:rPr>
      </w:pPr>
    </w:p>
    <w:p w:rsidR="008F09F9" w:rsidRPr="00585C31" w:rsidRDefault="008F09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09F9" w:rsidTr="000F1DF9">
        <w:tc>
          <w:tcPr>
            <w:tcW w:w="2718" w:type="dxa"/>
          </w:tcPr>
          <w:p w:rsidR="008F09F9" w:rsidRPr="005C2A78" w:rsidRDefault="008F09F9" w:rsidP="006D756B">
            <w:pPr>
              <w:rPr>
                <w:rFonts w:cs="Times New Roman"/>
                <w:szCs w:val="24"/>
              </w:rPr>
            </w:pPr>
            <w:sdt>
              <w:sdtPr>
                <w:rPr>
                  <w:rFonts w:cs="Times New Roman"/>
                  <w:szCs w:val="24"/>
                </w:rPr>
                <w:alias w:val="Agency Title"/>
                <w:tag w:val="AgencyTitleContentControl"/>
                <w:id w:val="1920747753"/>
                <w:lock w:val="sdtContentLocked"/>
                <w:placeholder>
                  <w:docPart w:val="10AB5C2F47E44886B46076A31306408C"/>
                </w:placeholder>
              </w:sdtPr>
              <w:sdtEndPr>
                <w:rPr>
                  <w:rFonts w:cstheme="minorBidi"/>
                  <w:szCs w:val="22"/>
                </w:rPr>
              </w:sdtEndPr>
              <w:sdtContent>
                <w:r>
                  <w:rPr>
                    <w:rFonts w:cs="Times New Roman"/>
                    <w:szCs w:val="24"/>
                  </w:rPr>
                  <w:t>Senate Research Center</w:t>
                </w:r>
              </w:sdtContent>
            </w:sdt>
          </w:p>
        </w:tc>
        <w:tc>
          <w:tcPr>
            <w:tcW w:w="6858" w:type="dxa"/>
          </w:tcPr>
          <w:p w:rsidR="008F09F9" w:rsidRPr="00FF6471" w:rsidRDefault="008F09F9" w:rsidP="000F1DF9">
            <w:pPr>
              <w:jc w:val="right"/>
              <w:rPr>
                <w:rFonts w:cs="Times New Roman"/>
                <w:szCs w:val="24"/>
              </w:rPr>
            </w:pPr>
            <w:sdt>
              <w:sdtPr>
                <w:rPr>
                  <w:rFonts w:cs="Times New Roman"/>
                  <w:szCs w:val="24"/>
                </w:rPr>
                <w:alias w:val="Bill Number"/>
                <w:tag w:val="BillNumberOne"/>
                <w:id w:val="-410784069"/>
                <w:lock w:val="sdtContentLocked"/>
                <w:placeholder>
                  <w:docPart w:val="C2E444450FF742DBA2BDAF23D699EC62"/>
                </w:placeholder>
              </w:sdtPr>
              <w:sdtContent>
                <w:r>
                  <w:rPr>
                    <w:rFonts w:cs="Times New Roman"/>
                    <w:szCs w:val="24"/>
                  </w:rPr>
                  <w:t>S.B. 1094</w:t>
                </w:r>
              </w:sdtContent>
            </w:sdt>
          </w:p>
        </w:tc>
      </w:tr>
      <w:tr w:rsidR="008F09F9" w:rsidTr="000F1DF9">
        <w:sdt>
          <w:sdtPr>
            <w:rPr>
              <w:rFonts w:cs="Times New Roman"/>
              <w:szCs w:val="24"/>
            </w:rPr>
            <w:alias w:val="TLCNumber"/>
            <w:tag w:val="TLCNumber"/>
            <w:id w:val="-542600604"/>
            <w:lock w:val="sdtLocked"/>
            <w:placeholder>
              <w:docPart w:val="6A242FD071F74E19A4DACA18BD7D5E96"/>
            </w:placeholder>
            <w:showingPlcHdr/>
          </w:sdtPr>
          <w:sdtContent>
            <w:tc>
              <w:tcPr>
                <w:tcW w:w="2718" w:type="dxa"/>
              </w:tcPr>
              <w:p w:rsidR="008F09F9" w:rsidRPr="000F1DF9" w:rsidRDefault="008F09F9" w:rsidP="00C65088">
                <w:pPr>
                  <w:rPr>
                    <w:rFonts w:cs="Times New Roman"/>
                    <w:szCs w:val="24"/>
                  </w:rPr>
                </w:pPr>
              </w:p>
            </w:tc>
          </w:sdtContent>
        </w:sdt>
        <w:tc>
          <w:tcPr>
            <w:tcW w:w="6858" w:type="dxa"/>
          </w:tcPr>
          <w:p w:rsidR="008F09F9" w:rsidRPr="005C2A78" w:rsidRDefault="008F09F9" w:rsidP="00073EDD">
            <w:pPr>
              <w:jc w:val="right"/>
              <w:rPr>
                <w:rFonts w:cs="Times New Roman"/>
                <w:szCs w:val="24"/>
              </w:rPr>
            </w:pPr>
            <w:sdt>
              <w:sdtPr>
                <w:rPr>
                  <w:rFonts w:cs="Times New Roman"/>
                  <w:szCs w:val="24"/>
                </w:rPr>
                <w:alias w:val="Author Label"/>
                <w:tag w:val="By"/>
                <w:id w:val="72399597"/>
                <w:lock w:val="sdtLocked"/>
                <w:placeholder>
                  <w:docPart w:val="E678587C47184827A6055E6E9E7DC3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65478A273843B0B51E8716CEB1094B"/>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BAB75165C57844AFB537F67624C6A960"/>
                </w:placeholder>
                <w:showingPlcHdr/>
              </w:sdtPr>
              <w:sdtContent/>
            </w:sdt>
            <w:sdt>
              <w:sdtPr>
                <w:rPr>
                  <w:rFonts w:cs="Times New Roman"/>
                  <w:szCs w:val="24"/>
                </w:rPr>
                <w:alias w:val="DualSponsor"/>
                <w:tag w:val="DualSponsor"/>
                <w:id w:val="1029379812"/>
                <w:lock w:val="sdtContentLocked"/>
                <w:placeholder>
                  <w:docPart w:val="D05D59FBA19845918C809ADEF67EB989"/>
                </w:placeholder>
                <w:showingPlcHdr/>
              </w:sdtPr>
              <w:sdtContent/>
            </w:sdt>
          </w:p>
        </w:tc>
      </w:tr>
      <w:tr w:rsidR="008F09F9" w:rsidTr="000F1DF9">
        <w:tc>
          <w:tcPr>
            <w:tcW w:w="2718" w:type="dxa"/>
          </w:tcPr>
          <w:p w:rsidR="008F09F9" w:rsidRPr="00BC7495" w:rsidRDefault="008F09F9" w:rsidP="000F1DF9">
            <w:pPr>
              <w:rPr>
                <w:rFonts w:cs="Times New Roman"/>
                <w:szCs w:val="24"/>
              </w:rPr>
            </w:pPr>
          </w:p>
        </w:tc>
        <w:sdt>
          <w:sdtPr>
            <w:rPr>
              <w:rFonts w:cs="Times New Roman"/>
              <w:szCs w:val="24"/>
            </w:rPr>
            <w:alias w:val="Committee"/>
            <w:tag w:val="Committee"/>
            <w:id w:val="1914272295"/>
            <w:lock w:val="sdtContentLocked"/>
            <w:placeholder>
              <w:docPart w:val="449910D9070E4C30BD1D5400376E71FD"/>
            </w:placeholder>
          </w:sdtPr>
          <w:sdtContent>
            <w:tc>
              <w:tcPr>
                <w:tcW w:w="6858" w:type="dxa"/>
              </w:tcPr>
              <w:p w:rsidR="008F09F9" w:rsidRPr="00FF6471" w:rsidRDefault="008F09F9" w:rsidP="000F1DF9">
                <w:pPr>
                  <w:jc w:val="right"/>
                  <w:rPr>
                    <w:rFonts w:cs="Times New Roman"/>
                    <w:szCs w:val="24"/>
                  </w:rPr>
                </w:pPr>
                <w:r>
                  <w:rPr>
                    <w:rFonts w:cs="Times New Roman"/>
                    <w:szCs w:val="24"/>
                  </w:rPr>
                  <w:t>Business &amp; Commerce</w:t>
                </w:r>
              </w:p>
            </w:tc>
          </w:sdtContent>
        </w:sdt>
      </w:tr>
      <w:tr w:rsidR="008F09F9" w:rsidTr="000F1DF9">
        <w:tc>
          <w:tcPr>
            <w:tcW w:w="2718" w:type="dxa"/>
          </w:tcPr>
          <w:p w:rsidR="008F09F9" w:rsidRPr="00BC7495" w:rsidRDefault="008F09F9" w:rsidP="000F1DF9">
            <w:pPr>
              <w:rPr>
                <w:rFonts w:cs="Times New Roman"/>
                <w:szCs w:val="24"/>
              </w:rPr>
            </w:pPr>
          </w:p>
        </w:tc>
        <w:sdt>
          <w:sdtPr>
            <w:rPr>
              <w:rFonts w:cs="Times New Roman"/>
              <w:szCs w:val="24"/>
            </w:rPr>
            <w:alias w:val="Date"/>
            <w:tag w:val="DateContentControl"/>
            <w:id w:val="1178081906"/>
            <w:lock w:val="sdtLocked"/>
            <w:placeholder>
              <w:docPart w:val="D307C9618A7446B7BF6178B4912CC9AB"/>
            </w:placeholder>
            <w:date w:fullDate="2023-06-07T00:00:00Z">
              <w:dateFormat w:val="M/d/yyyy"/>
              <w:lid w:val="en-US"/>
              <w:storeMappedDataAs w:val="dateTime"/>
              <w:calendar w:val="gregorian"/>
            </w:date>
          </w:sdtPr>
          <w:sdtContent>
            <w:tc>
              <w:tcPr>
                <w:tcW w:w="6858" w:type="dxa"/>
              </w:tcPr>
              <w:p w:rsidR="008F09F9" w:rsidRPr="00FF6471" w:rsidRDefault="008F09F9" w:rsidP="000F1DF9">
                <w:pPr>
                  <w:jc w:val="right"/>
                  <w:rPr>
                    <w:rFonts w:cs="Times New Roman"/>
                    <w:szCs w:val="24"/>
                  </w:rPr>
                </w:pPr>
                <w:r>
                  <w:rPr>
                    <w:rFonts w:cs="Times New Roman"/>
                    <w:szCs w:val="24"/>
                  </w:rPr>
                  <w:t>6/7/2023</w:t>
                </w:r>
              </w:p>
            </w:tc>
          </w:sdtContent>
        </w:sdt>
      </w:tr>
      <w:tr w:rsidR="008F09F9" w:rsidTr="000F1DF9">
        <w:tc>
          <w:tcPr>
            <w:tcW w:w="2718" w:type="dxa"/>
          </w:tcPr>
          <w:p w:rsidR="008F09F9" w:rsidRPr="00BC7495" w:rsidRDefault="008F09F9" w:rsidP="000F1DF9">
            <w:pPr>
              <w:rPr>
                <w:rFonts w:cs="Times New Roman"/>
                <w:szCs w:val="24"/>
              </w:rPr>
            </w:pPr>
          </w:p>
        </w:tc>
        <w:sdt>
          <w:sdtPr>
            <w:rPr>
              <w:rFonts w:cs="Times New Roman"/>
              <w:szCs w:val="24"/>
            </w:rPr>
            <w:alias w:val="BA Version"/>
            <w:tag w:val="BAVersion"/>
            <w:id w:val="-1685590809"/>
            <w:lock w:val="sdtContentLocked"/>
            <w:placeholder>
              <w:docPart w:val="DA756C26AC9A43039AC1AC3998535F94"/>
            </w:placeholder>
          </w:sdtPr>
          <w:sdtContent>
            <w:tc>
              <w:tcPr>
                <w:tcW w:w="6858" w:type="dxa"/>
              </w:tcPr>
              <w:p w:rsidR="008F09F9" w:rsidRPr="00FF6471" w:rsidRDefault="008F09F9" w:rsidP="000F1DF9">
                <w:pPr>
                  <w:jc w:val="right"/>
                  <w:rPr>
                    <w:rFonts w:cs="Times New Roman"/>
                    <w:szCs w:val="24"/>
                  </w:rPr>
                </w:pPr>
                <w:r>
                  <w:rPr>
                    <w:rFonts w:cs="Times New Roman"/>
                    <w:szCs w:val="24"/>
                  </w:rPr>
                  <w:t>Enrolled</w:t>
                </w:r>
              </w:p>
            </w:tc>
          </w:sdtContent>
        </w:sdt>
      </w:tr>
    </w:tbl>
    <w:p w:rsidR="008F09F9" w:rsidRPr="00FF6471" w:rsidRDefault="008F09F9" w:rsidP="000F1DF9">
      <w:pPr>
        <w:spacing w:after="0" w:line="240" w:lineRule="auto"/>
        <w:rPr>
          <w:rFonts w:cs="Times New Roman"/>
          <w:szCs w:val="24"/>
        </w:rPr>
      </w:pPr>
    </w:p>
    <w:p w:rsidR="008F09F9" w:rsidRPr="00FF6471" w:rsidRDefault="008F09F9" w:rsidP="000F1DF9">
      <w:pPr>
        <w:spacing w:after="0" w:line="240" w:lineRule="auto"/>
        <w:rPr>
          <w:rFonts w:cs="Times New Roman"/>
          <w:szCs w:val="24"/>
        </w:rPr>
      </w:pPr>
    </w:p>
    <w:p w:rsidR="008F09F9" w:rsidRPr="00FF6471" w:rsidRDefault="008F09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708D7AE27F41BF9A905B2BF3526A6F"/>
        </w:placeholder>
      </w:sdtPr>
      <w:sdtContent>
        <w:p w:rsidR="008F09F9" w:rsidRDefault="008F09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2035921ABA46C790EE7B05F7A756B6"/>
        </w:placeholder>
      </w:sdtPr>
      <w:sdtContent>
        <w:p w:rsidR="008F09F9" w:rsidRDefault="008F09F9" w:rsidP="0039171D">
          <w:pPr>
            <w:pStyle w:val="NormalWeb"/>
            <w:spacing w:before="0" w:beforeAutospacing="0" w:after="0" w:afterAutospacing="0"/>
            <w:jc w:val="both"/>
            <w:divId w:val="397174657"/>
            <w:rPr>
              <w:rFonts w:eastAsia="Times New Roman"/>
              <w:bCs/>
            </w:rPr>
          </w:pPr>
        </w:p>
        <w:p w:rsidR="008F09F9" w:rsidRPr="0039171D" w:rsidRDefault="008F09F9" w:rsidP="0039171D">
          <w:pPr>
            <w:pStyle w:val="NormalWeb"/>
            <w:spacing w:before="0" w:beforeAutospacing="0" w:after="0" w:afterAutospacing="0"/>
            <w:jc w:val="both"/>
            <w:divId w:val="397174657"/>
          </w:pPr>
          <w:r w:rsidRPr="0039171D">
            <w:t>Non-ERCOT utilities serve their customers using an economic combination of owned generation and electric energy purchased from third-party generators through purchased power agreements (PPAs).</w:t>
          </w:r>
        </w:p>
        <w:p w:rsidR="008F09F9" w:rsidRPr="0039171D" w:rsidRDefault="008F09F9" w:rsidP="0039171D">
          <w:pPr>
            <w:pStyle w:val="NormalWeb"/>
            <w:spacing w:before="0" w:beforeAutospacing="0" w:after="0" w:afterAutospacing="0"/>
            <w:jc w:val="both"/>
            <w:divId w:val="397174657"/>
          </w:pPr>
          <w:r w:rsidRPr="0039171D">
            <w:t> </w:t>
          </w:r>
        </w:p>
        <w:p w:rsidR="008F09F9" w:rsidRPr="0039171D" w:rsidRDefault="008F09F9" w:rsidP="0039171D">
          <w:pPr>
            <w:pStyle w:val="NormalWeb"/>
            <w:spacing w:before="0" w:beforeAutospacing="0" w:after="0" w:afterAutospacing="0"/>
            <w:jc w:val="both"/>
            <w:divId w:val="397174657"/>
          </w:pPr>
          <w:r w:rsidRPr="0039171D">
            <w:t>PPAs guarantee utility payments to the third-party provider, but utilities are not guaranteed to collect funds to support those payments. The third parties are able to use the utility guarantee with their financial backers to get low-cost financing for their competitive projects. This essentially transfers all risk to the utility's balance sheet, negatively impacts the utility's credit rating, and grants an inadvertent advantage to the use of PPAs. While utilities are not guaranteed cost recovery, they are also prohibited from earning a return on PPAs. This process results in utilities subsidizing competitive projects.</w:t>
          </w:r>
        </w:p>
        <w:p w:rsidR="008F09F9" w:rsidRPr="0039171D" w:rsidRDefault="008F09F9" w:rsidP="0039171D">
          <w:pPr>
            <w:pStyle w:val="NormalWeb"/>
            <w:spacing w:before="0" w:beforeAutospacing="0" w:after="0" w:afterAutospacing="0"/>
            <w:jc w:val="both"/>
            <w:divId w:val="397174657"/>
          </w:pPr>
          <w:r w:rsidRPr="0039171D">
            <w:t> </w:t>
          </w:r>
        </w:p>
        <w:p w:rsidR="008F09F9" w:rsidRPr="0039171D" w:rsidRDefault="008F09F9" w:rsidP="0039171D">
          <w:pPr>
            <w:pStyle w:val="NormalWeb"/>
            <w:spacing w:before="0" w:beforeAutospacing="0" w:after="0" w:afterAutospacing="0"/>
            <w:jc w:val="both"/>
            <w:divId w:val="397174657"/>
          </w:pPr>
          <w:r w:rsidRPr="0039171D">
            <w:t>While current law grants the Public Utility Commission of Texas (PUC) the option to include a "mark-up" on PPAs, it may only do so when the utility's financial integrity is threatened. S.B. 1094 requires the PUC to include a mark-up on PPA's sufficient to ensure the utility has no economic disincentive to relying on purchased power.</w:t>
          </w:r>
        </w:p>
        <w:p w:rsidR="008F09F9" w:rsidRPr="0039171D" w:rsidRDefault="008F09F9" w:rsidP="0039171D">
          <w:pPr>
            <w:pStyle w:val="NormalWeb"/>
            <w:spacing w:before="0" w:beforeAutospacing="0" w:after="0" w:afterAutospacing="0"/>
            <w:jc w:val="both"/>
            <w:divId w:val="397174657"/>
          </w:pPr>
          <w:r w:rsidRPr="0039171D">
            <w:t> </w:t>
          </w:r>
        </w:p>
        <w:p w:rsidR="008F09F9" w:rsidRPr="0039171D" w:rsidRDefault="008F09F9" w:rsidP="0039171D">
          <w:pPr>
            <w:pStyle w:val="NormalWeb"/>
            <w:spacing w:before="0" w:beforeAutospacing="0" w:after="0" w:afterAutospacing="0"/>
            <w:jc w:val="both"/>
            <w:divId w:val="397174657"/>
          </w:pPr>
          <w:r w:rsidRPr="0039171D">
            <w:t>(Original Author's/Sponsor's Statement of Intent)</w:t>
          </w:r>
        </w:p>
        <w:p w:rsidR="008F09F9" w:rsidRPr="00D70925" w:rsidRDefault="008F09F9" w:rsidP="0039171D">
          <w:pPr>
            <w:spacing w:after="0" w:line="240" w:lineRule="auto"/>
            <w:jc w:val="both"/>
            <w:rPr>
              <w:rFonts w:eastAsia="Times New Roman" w:cs="Times New Roman"/>
              <w:bCs/>
              <w:szCs w:val="24"/>
            </w:rPr>
          </w:pPr>
        </w:p>
      </w:sdtContent>
    </w:sdt>
    <w:p w:rsidR="008F09F9" w:rsidRDefault="008F09F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1094 </w:t>
      </w:r>
      <w:bookmarkStart w:id="1" w:name="AmendsCurrentLaw"/>
      <w:bookmarkEnd w:id="1"/>
      <w:r>
        <w:rPr>
          <w:rFonts w:cs="Times New Roman"/>
          <w:szCs w:val="24"/>
        </w:rPr>
        <w:t>amends current law relating to purchased power costs incurred by electric utilities.</w:t>
      </w:r>
    </w:p>
    <w:p w:rsidR="008F09F9" w:rsidRPr="0039171D" w:rsidRDefault="008F09F9" w:rsidP="000F1DF9">
      <w:pPr>
        <w:spacing w:after="0" w:line="240" w:lineRule="auto"/>
        <w:jc w:val="both"/>
        <w:rPr>
          <w:rFonts w:eastAsia="Times New Roman" w:cs="Times New Roman"/>
          <w:szCs w:val="24"/>
        </w:rPr>
      </w:pPr>
    </w:p>
    <w:p w:rsidR="008F09F9" w:rsidRPr="005C2A78" w:rsidRDefault="008F09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17ADD33031455F88BD0E25D55C13F9"/>
          </w:placeholder>
        </w:sdtPr>
        <w:sdtContent>
          <w:r>
            <w:rPr>
              <w:rFonts w:eastAsia="Times New Roman" w:cs="Times New Roman"/>
              <w:b/>
              <w:szCs w:val="24"/>
              <w:u w:val="single"/>
            </w:rPr>
            <w:t>RULEMAKING AUTHORITY</w:t>
          </w:r>
        </w:sdtContent>
      </w:sdt>
    </w:p>
    <w:p w:rsidR="008F09F9" w:rsidRPr="006529C4" w:rsidRDefault="008F09F9" w:rsidP="00774EC7">
      <w:pPr>
        <w:spacing w:after="0" w:line="240" w:lineRule="auto"/>
        <w:jc w:val="both"/>
        <w:rPr>
          <w:rFonts w:cs="Times New Roman"/>
          <w:szCs w:val="24"/>
        </w:rPr>
      </w:pPr>
    </w:p>
    <w:p w:rsidR="008F09F9" w:rsidRPr="006529C4" w:rsidRDefault="008F09F9" w:rsidP="00774EC7">
      <w:pPr>
        <w:spacing w:after="0" w:line="240" w:lineRule="auto"/>
        <w:jc w:val="both"/>
        <w:rPr>
          <w:rFonts w:cs="Times New Roman"/>
          <w:szCs w:val="24"/>
        </w:rPr>
      </w:pPr>
      <w:r>
        <w:rPr>
          <w:rFonts w:cs="Times New Roman"/>
          <w:szCs w:val="24"/>
        </w:rPr>
        <w:t>Rulemaking authority is expressly granted to the Public Utility Commission of Texas in SECTION 1 (Section 36.205, Utilities Code) of this bill.</w:t>
      </w:r>
    </w:p>
    <w:p w:rsidR="008F09F9" w:rsidRPr="006529C4" w:rsidRDefault="008F09F9" w:rsidP="00774EC7">
      <w:pPr>
        <w:spacing w:after="0" w:line="240" w:lineRule="auto"/>
        <w:jc w:val="both"/>
        <w:rPr>
          <w:rFonts w:cs="Times New Roman"/>
          <w:szCs w:val="24"/>
        </w:rPr>
      </w:pPr>
    </w:p>
    <w:p w:rsidR="008F09F9" w:rsidRPr="005C2A78" w:rsidRDefault="008F09F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EDF33F59DBA418DB59682A2FA879E4D"/>
          </w:placeholder>
        </w:sdtPr>
        <w:sdtContent>
          <w:r>
            <w:rPr>
              <w:rFonts w:eastAsia="Times New Roman" w:cs="Times New Roman"/>
              <w:b/>
              <w:szCs w:val="24"/>
              <w:u w:val="single"/>
            </w:rPr>
            <w:t>SECTION BY SECTION ANALYSIS</w:t>
          </w:r>
        </w:sdtContent>
      </w:sdt>
    </w:p>
    <w:p w:rsidR="008F09F9" w:rsidRPr="005C2A78" w:rsidRDefault="008F09F9" w:rsidP="008F09F9">
      <w:pPr>
        <w:spacing w:after="0" w:line="240" w:lineRule="auto"/>
        <w:jc w:val="both"/>
        <w:rPr>
          <w:rFonts w:eastAsia="Times New Roman" w:cs="Times New Roman"/>
          <w:szCs w:val="24"/>
        </w:rPr>
      </w:pPr>
    </w:p>
    <w:p w:rsidR="008F09F9" w:rsidRDefault="008F09F9" w:rsidP="008F09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36.205, Utilities Code, by adding Subsection (e), as follows:</w:t>
      </w:r>
    </w:p>
    <w:p w:rsidR="008F09F9" w:rsidRDefault="008F09F9" w:rsidP="008F09F9">
      <w:pPr>
        <w:spacing w:after="0" w:line="240" w:lineRule="auto"/>
        <w:jc w:val="both"/>
        <w:rPr>
          <w:rFonts w:eastAsia="Times New Roman" w:cs="Times New Roman"/>
          <w:szCs w:val="24"/>
        </w:rPr>
      </w:pPr>
    </w:p>
    <w:p w:rsidR="008F09F9" w:rsidRPr="005C2A78" w:rsidRDefault="008F09F9" w:rsidP="008F09F9">
      <w:pPr>
        <w:spacing w:after="0" w:line="240" w:lineRule="auto"/>
        <w:ind w:left="720"/>
        <w:jc w:val="both"/>
        <w:rPr>
          <w:rFonts w:eastAsia="Times New Roman" w:cs="Times New Roman"/>
          <w:szCs w:val="24"/>
        </w:rPr>
      </w:pPr>
      <w:r>
        <w:rPr>
          <w:rFonts w:eastAsia="Times New Roman" w:cs="Times New Roman"/>
          <w:szCs w:val="24"/>
        </w:rPr>
        <w:t>(e) Authorizes an electric utility, notwithstanding Subsection (a) (relating to providing that Section 36.205 (Purchased Power Cost Recovery) applies only to certain increases or decreases in the cost of purchased electricity) to apply to the Public Utility Commission of Texas (PUC) for review and approval of an agreement between the electric utility and another person for the purchase of power by the electric utility if approval by the PUC is a pre-condition to the effectiveness of the electric utility's right or obligation to purchase power under the agreement. Provides that this subsection applies only to an agreement with a term of three years of more. Requires the PUC by rule to implement this subsection consistent with the standards and procedures in the PUC's rules governing contested cases on certificates of convenience and necessity for generating facilities adopted under Sections 37.056 (Grant or Denial of Certificate) and 37.058 (</w:t>
      </w:r>
      <w:r w:rsidRPr="006F6E22">
        <w:rPr>
          <w:rFonts w:eastAsia="Times New Roman" w:cs="Times New Roman"/>
          <w:szCs w:val="24"/>
        </w:rPr>
        <w:t xml:space="preserve">Certificate </w:t>
      </w:r>
      <w:r>
        <w:rPr>
          <w:rFonts w:eastAsia="Times New Roman" w:cs="Times New Roman"/>
          <w:szCs w:val="24"/>
        </w:rPr>
        <w:t>a</w:t>
      </w:r>
      <w:r w:rsidRPr="006F6E22">
        <w:rPr>
          <w:rFonts w:eastAsia="Times New Roman" w:cs="Times New Roman"/>
          <w:szCs w:val="24"/>
        </w:rPr>
        <w:t xml:space="preserve">nd Determination Issued </w:t>
      </w:r>
      <w:r>
        <w:rPr>
          <w:rFonts w:eastAsia="Times New Roman" w:cs="Times New Roman"/>
          <w:szCs w:val="24"/>
        </w:rPr>
        <w:t>t</w:t>
      </w:r>
      <w:r w:rsidRPr="006F6E22">
        <w:rPr>
          <w:rFonts w:eastAsia="Times New Roman" w:cs="Times New Roman"/>
          <w:szCs w:val="24"/>
        </w:rPr>
        <w:t>o Certain Non-</w:t>
      </w:r>
      <w:r>
        <w:rPr>
          <w:rFonts w:eastAsia="Times New Roman" w:cs="Times New Roman"/>
          <w:szCs w:val="24"/>
        </w:rPr>
        <w:t xml:space="preserve">ERCOT </w:t>
      </w:r>
      <w:r w:rsidRPr="006F6E22">
        <w:rPr>
          <w:rFonts w:eastAsia="Times New Roman" w:cs="Times New Roman"/>
          <w:szCs w:val="24"/>
        </w:rPr>
        <w:t xml:space="preserve">Utilities </w:t>
      </w:r>
      <w:r>
        <w:rPr>
          <w:rFonts w:eastAsia="Times New Roman" w:cs="Times New Roman"/>
          <w:szCs w:val="24"/>
        </w:rPr>
        <w:t>f</w:t>
      </w:r>
      <w:r w:rsidRPr="006F6E22">
        <w:rPr>
          <w:rFonts w:eastAsia="Times New Roman" w:cs="Times New Roman"/>
          <w:szCs w:val="24"/>
        </w:rPr>
        <w:t>or Generating Facility</w:t>
      </w:r>
      <w:r>
        <w:rPr>
          <w:rFonts w:eastAsia="Times New Roman" w:cs="Times New Roman"/>
          <w:szCs w:val="24"/>
        </w:rPr>
        <w:t>). Provides that this subsection expires September 1, 2033.</w:t>
      </w:r>
    </w:p>
    <w:p w:rsidR="008F09F9" w:rsidRPr="005C2A78" w:rsidRDefault="008F09F9" w:rsidP="008F09F9">
      <w:pPr>
        <w:spacing w:after="0" w:line="240" w:lineRule="auto"/>
        <w:jc w:val="both"/>
        <w:rPr>
          <w:rFonts w:eastAsia="Times New Roman" w:cs="Times New Roman"/>
          <w:szCs w:val="24"/>
        </w:rPr>
      </w:pPr>
    </w:p>
    <w:p w:rsidR="008F09F9" w:rsidRPr="00C8671F" w:rsidRDefault="008F09F9" w:rsidP="008F09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8F09F9" w:rsidRPr="00C8671F" w:rsidRDefault="008F09F9" w:rsidP="008F09F9">
      <w:pPr>
        <w:spacing w:after="0" w:line="240" w:lineRule="auto"/>
        <w:jc w:val="both"/>
        <w:rPr>
          <w:rFonts w:eastAsia="Times New Roman" w:cs="Times New Roman"/>
          <w:szCs w:val="24"/>
        </w:rPr>
      </w:pPr>
      <w:r w:rsidRPr="005C2A78">
        <w:rPr>
          <w:rFonts w:eastAsia="Times New Roman" w:cs="Times New Roman"/>
          <w:szCs w:val="24"/>
        </w:rPr>
        <w:t xml:space="preserve"> </w:t>
      </w:r>
    </w:p>
    <w:sectPr w:rsidR="008F09F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62F" w:rsidRDefault="002B762F" w:rsidP="000F1DF9">
      <w:pPr>
        <w:spacing w:after="0" w:line="240" w:lineRule="auto"/>
      </w:pPr>
      <w:r>
        <w:separator/>
      </w:r>
    </w:p>
  </w:endnote>
  <w:endnote w:type="continuationSeparator" w:id="0">
    <w:p w:rsidR="002B762F" w:rsidRDefault="002B76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76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09F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09F9">
                <w:rPr>
                  <w:sz w:val="20"/>
                  <w:szCs w:val="20"/>
                </w:rPr>
                <w:t>S.B. 1094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09F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76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62F" w:rsidRDefault="002B762F" w:rsidP="000F1DF9">
      <w:pPr>
        <w:spacing w:after="0" w:line="240" w:lineRule="auto"/>
      </w:pPr>
      <w:r>
        <w:separator/>
      </w:r>
    </w:p>
  </w:footnote>
  <w:footnote w:type="continuationSeparator" w:id="0">
    <w:p w:rsidR="002B762F" w:rsidRDefault="002B76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762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09F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5584"/>
  <w15:docId w15:val="{67B7833D-C808-4F56-A56E-6096C1FD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09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3E3748830A40A98899779C5AE7C134"/>
        <w:category>
          <w:name w:val="General"/>
          <w:gallery w:val="placeholder"/>
        </w:category>
        <w:types>
          <w:type w:val="bbPlcHdr"/>
        </w:types>
        <w:behaviors>
          <w:behavior w:val="content"/>
        </w:behaviors>
        <w:guid w:val="{D22EB077-2A41-4CA3-9884-73CBE1A356C2}"/>
      </w:docPartPr>
      <w:docPartBody>
        <w:p w:rsidR="00000000" w:rsidRDefault="00235198"/>
      </w:docPartBody>
    </w:docPart>
    <w:docPart>
      <w:docPartPr>
        <w:name w:val="10AB5C2F47E44886B46076A31306408C"/>
        <w:category>
          <w:name w:val="General"/>
          <w:gallery w:val="placeholder"/>
        </w:category>
        <w:types>
          <w:type w:val="bbPlcHdr"/>
        </w:types>
        <w:behaviors>
          <w:behavior w:val="content"/>
        </w:behaviors>
        <w:guid w:val="{487279AA-9208-445D-9697-84A1AF56D3FB}"/>
      </w:docPartPr>
      <w:docPartBody>
        <w:p w:rsidR="00000000" w:rsidRDefault="00235198"/>
      </w:docPartBody>
    </w:docPart>
    <w:docPart>
      <w:docPartPr>
        <w:name w:val="C2E444450FF742DBA2BDAF23D699EC62"/>
        <w:category>
          <w:name w:val="General"/>
          <w:gallery w:val="placeholder"/>
        </w:category>
        <w:types>
          <w:type w:val="bbPlcHdr"/>
        </w:types>
        <w:behaviors>
          <w:behavior w:val="content"/>
        </w:behaviors>
        <w:guid w:val="{0063A665-11E7-4B2F-8FFA-0CFF7D696B72}"/>
      </w:docPartPr>
      <w:docPartBody>
        <w:p w:rsidR="00000000" w:rsidRDefault="00235198"/>
      </w:docPartBody>
    </w:docPart>
    <w:docPart>
      <w:docPartPr>
        <w:name w:val="6A242FD071F74E19A4DACA18BD7D5E96"/>
        <w:category>
          <w:name w:val="General"/>
          <w:gallery w:val="placeholder"/>
        </w:category>
        <w:types>
          <w:type w:val="bbPlcHdr"/>
        </w:types>
        <w:behaviors>
          <w:behavior w:val="content"/>
        </w:behaviors>
        <w:guid w:val="{590D7ED3-478C-434A-B942-BDCFD1A98B18}"/>
      </w:docPartPr>
      <w:docPartBody>
        <w:p w:rsidR="00000000" w:rsidRDefault="00235198"/>
      </w:docPartBody>
    </w:docPart>
    <w:docPart>
      <w:docPartPr>
        <w:name w:val="E678587C47184827A6055E6E9E7DC3DA"/>
        <w:category>
          <w:name w:val="General"/>
          <w:gallery w:val="placeholder"/>
        </w:category>
        <w:types>
          <w:type w:val="bbPlcHdr"/>
        </w:types>
        <w:behaviors>
          <w:behavior w:val="content"/>
        </w:behaviors>
        <w:guid w:val="{2E2F8D35-5840-4285-B81E-444400D9E3ED}"/>
      </w:docPartPr>
      <w:docPartBody>
        <w:p w:rsidR="00000000" w:rsidRDefault="00235198"/>
      </w:docPartBody>
    </w:docPart>
    <w:docPart>
      <w:docPartPr>
        <w:name w:val="4365478A273843B0B51E8716CEB1094B"/>
        <w:category>
          <w:name w:val="General"/>
          <w:gallery w:val="placeholder"/>
        </w:category>
        <w:types>
          <w:type w:val="bbPlcHdr"/>
        </w:types>
        <w:behaviors>
          <w:behavior w:val="content"/>
        </w:behaviors>
        <w:guid w:val="{3672A6A6-BC6B-42A8-94DC-D0F645F9514C}"/>
      </w:docPartPr>
      <w:docPartBody>
        <w:p w:rsidR="00000000" w:rsidRDefault="00235198"/>
      </w:docPartBody>
    </w:docPart>
    <w:docPart>
      <w:docPartPr>
        <w:name w:val="BAB75165C57844AFB537F67624C6A960"/>
        <w:category>
          <w:name w:val="General"/>
          <w:gallery w:val="placeholder"/>
        </w:category>
        <w:types>
          <w:type w:val="bbPlcHdr"/>
        </w:types>
        <w:behaviors>
          <w:behavior w:val="content"/>
        </w:behaviors>
        <w:guid w:val="{9CB218A2-4D71-448F-AEF5-16938445B888}"/>
      </w:docPartPr>
      <w:docPartBody>
        <w:p w:rsidR="00000000" w:rsidRDefault="00235198"/>
      </w:docPartBody>
    </w:docPart>
    <w:docPart>
      <w:docPartPr>
        <w:name w:val="D05D59FBA19845918C809ADEF67EB989"/>
        <w:category>
          <w:name w:val="General"/>
          <w:gallery w:val="placeholder"/>
        </w:category>
        <w:types>
          <w:type w:val="bbPlcHdr"/>
        </w:types>
        <w:behaviors>
          <w:behavior w:val="content"/>
        </w:behaviors>
        <w:guid w:val="{DA4B031D-A5C3-4988-A4A6-F642ACD39A13}"/>
      </w:docPartPr>
      <w:docPartBody>
        <w:p w:rsidR="00000000" w:rsidRDefault="00235198"/>
      </w:docPartBody>
    </w:docPart>
    <w:docPart>
      <w:docPartPr>
        <w:name w:val="449910D9070E4C30BD1D5400376E71FD"/>
        <w:category>
          <w:name w:val="General"/>
          <w:gallery w:val="placeholder"/>
        </w:category>
        <w:types>
          <w:type w:val="bbPlcHdr"/>
        </w:types>
        <w:behaviors>
          <w:behavior w:val="content"/>
        </w:behaviors>
        <w:guid w:val="{818432F5-6D26-457C-A91C-C796CD05D7AF}"/>
      </w:docPartPr>
      <w:docPartBody>
        <w:p w:rsidR="00000000" w:rsidRDefault="00235198"/>
      </w:docPartBody>
    </w:docPart>
    <w:docPart>
      <w:docPartPr>
        <w:name w:val="D307C9618A7446B7BF6178B4912CC9AB"/>
        <w:category>
          <w:name w:val="General"/>
          <w:gallery w:val="placeholder"/>
        </w:category>
        <w:types>
          <w:type w:val="bbPlcHdr"/>
        </w:types>
        <w:behaviors>
          <w:behavior w:val="content"/>
        </w:behaviors>
        <w:guid w:val="{DCCD92E1-DC73-4BDA-A18B-F714C4D3A6D4}"/>
      </w:docPartPr>
      <w:docPartBody>
        <w:p w:rsidR="00000000" w:rsidRDefault="0055121E" w:rsidP="0055121E">
          <w:pPr>
            <w:pStyle w:val="D307C9618A7446B7BF6178B4912CC9AB"/>
          </w:pPr>
          <w:r w:rsidRPr="00A30DD1">
            <w:rPr>
              <w:rStyle w:val="PlaceholderText"/>
            </w:rPr>
            <w:t>Click here to enter a date.</w:t>
          </w:r>
        </w:p>
      </w:docPartBody>
    </w:docPart>
    <w:docPart>
      <w:docPartPr>
        <w:name w:val="DA756C26AC9A43039AC1AC3998535F94"/>
        <w:category>
          <w:name w:val="General"/>
          <w:gallery w:val="placeholder"/>
        </w:category>
        <w:types>
          <w:type w:val="bbPlcHdr"/>
        </w:types>
        <w:behaviors>
          <w:behavior w:val="content"/>
        </w:behaviors>
        <w:guid w:val="{8D256610-55BF-46BF-BEFB-726372F383B1}"/>
      </w:docPartPr>
      <w:docPartBody>
        <w:p w:rsidR="00000000" w:rsidRDefault="00235198"/>
      </w:docPartBody>
    </w:docPart>
    <w:docPart>
      <w:docPartPr>
        <w:name w:val="AD708D7AE27F41BF9A905B2BF3526A6F"/>
        <w:category>
          <w:name w:val="General"/>
          <w:gallery w:val="placeholder"/>
        </w:category>
        <w:types>
          <w:type w:val="bbPlcHdr"/>
        </w:types>
        <w:behaviors>
          <w:behavior w:val="content"/>
        </w:behaviors>
        <w:guid w:val="{AEC8DA72-D922-4D2A-A083-CA8B29D47684}"/>
      </w:docPartPr>
      <w:docPartBody>
        <w:p w:rsidR="00000000" w:rsidRDefault="00235198"/>
      </w:docPartBody>
    </w:docPart>
    <w:docPart>
      <w:docPartPr>
        <w:name w:val="AE2035921ABA46C790EE7B05F7A756B6"/>
        <w:category>
          <w:name w:val="General"/>
          <w:gallery w:val="placeholder"/>
        </w:category>
        <w:types>
          <w:type w:val="bbPlcHdr"/>
        </w:types>
        <w:behaviors>
          <w:behavior w:val="content"/>
        </w:behaviors>
        <w:guid w:val="{C26E6CD3-357F-4218-8B5C-A23F7801AF2C}"/>
      </w:docPartPr>
      <w:docPartBody>
        <w:p w:rsidR="00000000" w:rsidRDefault="0055121E" w:rsidP="0055121E">
          <w:pPr>
            <w:pStyle w:val="AE2035921ABA46C790EE7B05F7A756B6"/>
          </w:pPr>
          <w:r>
            <w:rPr>
              <w:rFonts w:eastAsia="Times New Roman" w:cs="Times New Roman"/>
              <w:bCs/>
              <w:szCs w:val="24"/>
            </w:rPr>
            <w:t xml:space="preserve"> </w:t>
          </w:r>
        </w:p>
      </w:docPartBody>
    </w:docPart>
    <w:docPart>
      <w:docPartPr>
        <w:name w:val="0A17ADD33031455F88BD0E25D55C13F9"/>
        <w:category>
          <w:name w:val="General"/>
          <w:gallery w:val="placeholder"/>
        </w:category>
        <w:types>
          <w:type w:val="bbPlcHdr"/>
        </w:types>
        <w:behaviors>
          <w:behavior w:val="content"/>
        </w:behaviors>
        <w:guid w:val="{5A814915-E0DB-48B7-9456-E9878E43CA82}"/>
      </w:docPartPr>
      <w:docPartBody>
        <w:p w:rsidR="00000000" w:rsidRDefault="00235198"/>
      </w:docPartBody>
    </w:docPart>
    <w:docPart>
      <w:docPartPr>
        <w:name w:val="1EDF33F59DBA418DB59682A2FA879E4D"/>
        <w:category>
          <w:name w:val="General"/>
          <w:gallery w:val="placeholder"/>
        </w:category>
        <w:types>
          <w:type w:val="bbPlcHdr"/>
        </w:types>
        <w:behaviors>
          <w:behavior w:val="content"/>
        </w:behaviors>
        <w:guid w:val="{696DCCB7-8D15-40D4-BF5B-DF4CCF13E71B}"/>
      </w:docPartPr>
      <w:docPartBody>
        <w:p w:rsidR="00000000" w:rsidRDefault="002351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5198"/>
    <w:rsid w:val="00280096"/>
    <w:rsid w:val="00290C4E"/>
    <w:rsid w:val="002A4665"/>
    <w:rsid w:val="002A5E86"/>
    <w:rsid w:val="002F07B9"/>
    <w:rsid w:val="0032359E"/>
    <w:rsid w:val="00330290"/>
    <w:rsid w:val="004816E8"/>
    <w:rsid w:val="00493D6D"/>
    <w:rsid w:val="0055121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21E"/>
    <w:rPr>
      <w:color w:val="808080"/>
    </w:rPr>
  </w:style>
  <w:style w:type="paragraph" w:customStyle="1" w:styleId="D307C9618A7446B7BF6178B4912CC9AB">
    <w:name w:val="D307C9618A7446B7BF6178B4912CC9AB"/>
    <w:rsid w:val="0055121E"/>
    <w:pPr>
      <w:spacing w:after="160" w:line="259" w:lineRule="auto"/>
    </w:pPr>
  </w:style>
  <w:style w:type="paragraph" w:customStyle="1" w:styleId="AE2035921ABA46C790EE7B05F7A756B6">
    <w:name w:val="AE2035921ABA46C790EE7B05F7A756B6"/>
    <w:rsid w:val="0055121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437</Words>
  <Characters>2497</Characters>
  <Application>Microsoft Office Word</Application>
  <DocSecurity>0</DocSecurity>
  <Lines>20</Lines>
  <Paragraphs>5</Paragraphs>
  <ScaleCrop>false</ScaleCrop>
  <Company>Texas Legislative Council</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cp:lastPrinted>2023-06-07T18:51:00Z</cp:lastPrinted>
  <dcterms:created xsi:type="dcterms:W3CDTF">2015-05-29T14:24:00Z</dcterms:created>
  <dcterms:modified xsi:type="dcterms:W3CDTF">2023-06-07T18:52:00Z</dcterms:modified>
</cp:coreProperties>
</file>

<file path=docProps/custom.xml><?xml version="1.0" encoding="utf-8"?>
<op:Properties xmlns:vt="http://schemas.openxmlformats.org/officeDocument/2006/docPropsVTypes" xmlns:op="http://schemas.openxmlformats.org/officeDocument/2006/custom-properties"/>
</file>