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90112D" w14:paraId="43D04710" w14:textId="77777777" w:rsidTr="00345119">
        <w:tc>
          <w:tcPr>
            <w:tcW w:w="9576" w:type="dxa"/>
            <w:noWrap/>
          </w:tcPr>
          <w:p w14:paraId="0EFABA78" w14:textId="77777777" w:rsidR="008423E4" w:rsidRPr="0022177D" w:rsidRDefault="003B2423" w:rsidP="00286046">
            <w:pPr>
              <w:pStyle w:val="Heading1"/>
            </w:pPr>
            <w:r w:rsidRPr="00631897">
              <w:t>BILL ANALYSIS</w:t>
            </w:r>
          </w:p>
        </w:tc>
      </w:tr>
    </w:tbl>
    <w:p w14:paraId="284316DE" w14:textId="77777777" w:rsidR="008423E4" w:rsidRPr="0022177D" w:rsidRDefault="008423E4" w:rsidP="00286046">
      <w:pPr>
        <w:jc w:val="center"/>
      </w:pPr>
    </w:p>
    <w:p w14:paraId="30D10543" w14:textId="77777777" w:rsidR="008423E4" w:rsidRPr="00B31F0E" w:rsidRDefault="008423E4" w:rsidP="00286046"/>
    <w:p w14:paraId="5DC3A12C" w14:textId="77777777" w:rsidR="008423E4" w:rsidRPr="00742794" w:rsidRDefault="008423E4" w:rsidP="00286046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90112D" w14:paraId="01225330" w14:textId="77777777" w:rsidTr="00345119">
        <w:tc>
          <w:tcPr>
            <w:tcW w:w="9576" w:type="dxa"/>
          </w:tcPr>
          <w:p w14:paraId="350AF9EA" w14:textId="33FE2605" w:rsidR="008423E4" w:rsidRPr="00861995" w:rsidRDefault="003B2423" w:rsidP="00286046">
            <w:pPr>
              <w:jc w:val="right"/>
            </w:pPr>
            <w:r>
              <w:t>S.B. 1097</w:t>
            </w:r>
          </w:p>
        </w:tc>
      </w:tr>
      <w:tr w:rsidR="0090112D" w14:paraId="0E001BBC" w14:textId="77777777" w:rsidTr="00345119">
        <w:tc>
          <w:tcPr>
            <w:tcW w:w="9576" w:type="dxa"/>
          </w:tcPr>
          <w:p w14:paraId="1CDE0F5D" w14:textId="3BAADE6F" w:rsidR="008423E4" w:rsidRPr="00861995" w:rsidRDefault="003B2423" w:rsidP="00286046">
            <w:pPr>
              <w:jc w:val="right"/>
            </w:pPr>
            <w:r>
              <w:t xml:space="preserve">By: </w:t>
            </w:r>
            <w:r w:rsidR="008C219F">
              <w:t>Parker</w:t>
            </w:r>
          </w:p>
        </w:tc>
      </w:tr>
      <w:tr w:rsidR="0090112D" w14:paraId="431FECA5" w14:textId="77777777" w:rsidTr="00345119">
        <w:tc>
          <w:tcPr>
            <w:tcW w:w="9576" w:type="dxa"/>
          </w:tcPr>
          <w:p w14:paraId="3534BC13" w14:textId="07CE2D20" w:rsidR="008423E4" w:rsidRPr="00861995" w:rsidRDefault="003B2423" w:rsidP="00286046">
            <w:pPr>
              <w:jc w:val="right"/>
            </w:pPr>
            <w:r>
              <w:t>Judiciary &amp; Civil Jurisprudence</w:t>
            </w:r>
          </w:p>
        </w:tc>
      </w:tr>
      <w:tr w:rsidR="0090112D" w14:paraId="675AF17E" w14:textId="77777777" w:rsidTr="00345119">
        <w:tc>
          <w:tcPr>
            <w:tcW w:w="9576" w:type="dxa"/>
          </w:tcPr>
          <w:p w14:paraId="3AC65FEE" w14:textId="476FBF75" w:rsidR="008423E4" w:rsidRDefault="003B2423" w:rsidP="00286046">
            <w:pPr>
              <w:jc w:val="right"/>
            </w:pPr>
            <w:r>
              <w:t>Committee Report (Unamended)</w:t>
            </w:r>
          </w:p>
        </w:tc>
      </w:tr>
    </w:tbl>
    <w:p w14:paraId="26EF6C48" w14:textId="77777777" w:rsidR="008423E4" w:rsidRDefault="008423E4" w:rsidP="00286046">
      <w:pPr>
        <w:tabs>
          <w:tab w:val="right" w:pos="9360"/>
        </w:tabs>
      </w:pPr>
    </w:p>
    <w:p w14:paraId="4A19C326" w14:textId="77777777" w:rsidR="008423E4" w:rsidRDefault="008423E4" w:rsidP="00286046"/>
    <w:p w14:paraId="59605D19" w14:textId="77777777" w:rsidR="008423E4" w:rsidRDefault="008423E4" w:rsidP="00286046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90112D" w14:paraId="679F1CC1" w14:textId="77777777" w:rsidTr="00345119">
        <w:tc>
          <w:tcPr>
            <w:tcW w:w="9576" w:type="dxa"/>
          </w:tcPr>
          <w:p w14:paraId="60E06F2F" w14:textId="77777777" w:rsidR="008423E4" w:rsidRPr="00A8133F" w:rsidRDefault="003B2423" w:rsidP="00286046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1D163585" w14:textId="77777777" w:rsidR="008423E4" w:rsidRDefault="008423E4" w:rsidP="00286046"/>
          <w:p w14:paraId="65EA4ACC" w14:textId="1292A825" w:rsidR="00CA07E4" w:rsidRDefault="003B2423" w:rsidP="00286046">
            <w:pPr>
              <w:pStyle w:val="Header"/>
              <w:jc w:val="both"/>
            </w:pPr>
            <w:r>
              <w:t xml:space="preserve">Decatur Hospital Authority, doing business as </w:t>
            </w:r>
            <w:r w:rsidR="00436062">
              <w:t>The Wise Health System</w:t>
            </w:r>
            <w:r>
              <w:t>,</w:t>
            </w:r>
            <w:r w:rsidR="00436062">
              <w:t xml:space="preserve"> is a municipal hospital authority and political subdivision </w:t>
            </w:r>
            <w:r w:rsidR="00810FB8">
              <w:t>that</w:t>
            </w:r>
            <w:r w:rsidR="00436062">
              <w:t xml:space="preserve"> owns and operates a 150-licensed-bed acute care hospital in Wise County and multiple affiliated ancillary facilities. Wise County is beginning to experience significant growth, which is expected to</w:t>
            </w:r>
            <w:r w:rsidR="00AE253F">
              <w:t xml:space="preserve"> continue</w:t>
            </w:r>
            <w:r w:rsidR="00436062">
              <w:t xml:space="preserve"> during the next decade. The new and changing financial realities of the health</w:t>
            </w:r>
            <w:r w:rsidR="00841D4B">
              <w:t xml:space="preserve"> </w:t>
            </w:r>
            <w:r w:rsidR="00436062">
              <w:t xml:space="preserve">care system as a whole are making it increasingly </w:t>
            </w:r>
            <w:r>
              <w:t xml:space="preserve">difficult </w:t>
            </w:r>
            <w:r w:rsidR="00436062">
              <w:t xml:space="preserve">for independent systems like the </w:t>
            </w:r>
            <w:r w:rsidR="00810FB8">
              <w:t>a</w:t>
            </w:r>
            <w:r w:rsidR="00436062">
              <w:t>uthority to remain independent hospital operators. These challenges are increasing regardless of location</w:t>
            </w:r>
            <w:r w:rsidR="00810FB8">
              <w:t>,</w:t>
            </w:r>
            <w:r w:rsidR="00436062">
              <w:t xml:space="preserve"> but </w:t>
            </w:r>
            <w:r w:rsidR="00810FB8">
              <w:t xml:space="preserve">are </w:t>
            </w:r>
            <w:r w:rsidR="00436062">
              <w:t xml:space="preserve">especially true in markets like Wise County </w:t>
            </w:r>
            <w:r>
              <w:t xml:space="preserve">that are experiencing </w:t>
            </w:r>
            <w:r w:rsidR="00AE253F">
              <w:t xml:space="preserve">this </w:t>
            </w:r>
            <w:r>
              <w:t>significant</w:t>
            </w:r>
            <w:r w:rsidR="00436062">
              <w:t xml:space="preserve"> growth. To ensure access to capital and resources that will help keep health</w:t>
            </w:r>
            <w:r w:rsidR="00841D4B">
              <w:t xml:space="preserve"> </w:t>
            </w:r>
            <w:r w:rsidR="00436062">
              <w:t>care local, ensure continued jobs for health</w:t>
            </w:r>
            <w:r w:rsidR="00841D4B">
              <w:t xml:space="preserve"> </w:t>
            </w:r>
            <w:r w:rsidR="00436062">
              <w:t xml:space="preserve">care workers, and grow and enhance services for </w:t>
            </w:r>
            <w:r w:rsidR="00810FB8">
              <w:t>its</w:t>
            </w:r>
            <w:r w:rsidR="00436062">
              <w:t xml:space="preserve"> patients, the </w:t>
            </w:r>
            <w:r w:rsidR="00810FB8">
              <w:t>a</w:t>
            </w:r>
            <w:r w:rsidR="00436062">
              <w:t xml:space="preserve">uthority seeks to strategically align with a larger system. </w:t>
            </w:r>
          </w:p>
          <w:p w14:paraId="6DDD45A1" w14:textId="77777777" w:rsidR="00AE253F" w:rsidRDefault="00AE253F" w:rsidP="00286046">
            <w:pPr>
              <w:pStyle w:val="Header"/>
              <w:jc w:val="both"/>
            </w:pPr>
          </w:p>
          <w:p w14:paraId="461E80BB" w14:textId="68CDE0F8" w:rsidR="00CA07E4" w:rsidRDefault="003B2423" w:rsidP="00286046">
            <w:pPr>
              <w:pStyle w:val="Header"/>
              <w:jc w:val="both"/>
            </w:pPr>
            <w:r>
              <w:t>Currently, the law is unclear regarding preexisting liabilities of the authority, as a political subdivision, in an acquisition o</w:t>
            </w:r>
            <w:r>
              <w:t>f the authority by a national health</w:t>
            </w:r>
            <w:r w:rsidR="00841D4B">
              <w:t xml:space="preserve"> </w:t>
            </w:r>
            <w:r>
              <w:t>care facility operator. Resolution of the issue is necessary because no reputable purchaser would agree to be exposed to a known or unknown claim that may predate their potential ownership. S.B.</w:t>
            </w:r>
            <w:r w:rsidR="00841D4B">
              <w:t> </w:t>
            </w:r>
            <w:r>
              <w:t>1097 seeks to address th</w:t>
            </w:r>
            <w:r>
              <w:t>is issue by</w:t>
            </w:r>
            <w:r w:rsidR="00245AAB">
              <w:t xml:space="preserve"> revising</w:t>
            </w:r>
            <w:r>
              <w:t xml:space="preserve"> current law relating to liability of certain municipal hospital authorities under a contract for the sale of a hospital.</w:t>
            </w:r>
          </w:p>
          <w:p w14:paraId="1456F91A" w14:textId="77777777" w:rsidR="008423E4" w:rsidRPr="00E26B13" w:rsidRDefault="008423E4" w:rsidP="00286046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</w:p>
        </w:tc>
      </w:tr>
      <w:tr w:rsidR="0090112D" w14:paraId="7B54E7F6" w14:textId="77777777" w:rsidTr="00345119">
        <w:tc>
          <w:tcPr>
            <w:tcW w:w="9576" w:type="dxa"/>
          </w:tcPr>
          <w:p w14:paraId="5E1F0ECC" w14:textId="77777777" w:rsidR="0017725B" w:rsidRDefault="003B2423" w:rsidP="0028604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68879D85" w14:textId="77777777" w:rsidR="0017725B" w:rsidRDefault="0017725B" w:rsidP="00286046">
            <w:pPr>
              <w:rPr>
                <w:b/>
                <w:u w:val="single"/>
              </w:rPr>
            </w:pPr>
          </w:p>
          <w:p w14:paraId="04BB17ED" w14:textId="18918DA2" w:rsidR="00B37448" w:rsidRPr="00B37448" w:rsidRDefault="003B2423" w:rsidP="00286046">
            <w:pPr>
              <w:jc w:val="both"/>
            </w:pPr>
            <w:r>
              <w:t xml:space="preserve">It is the committee's opinion that this bill does not expressly create a </w:t>
            </w:r>
            <w:r>
              <w:t>criminal offense, increase the punishment for an existing criminal offense or category of offenses, or change the eligibility of a person for community supervision, parole, or mandatory supervision.</w:t>
            </w:r>
          </w:p>
          <w:p w14:paraId="2BAF336F" w14:textId="77777777" w:rsidR="0017725B" w:rsidRPr="0017725B" w:rsidRDefault="0017725B" w:rsidP="00286046">
            <w:pPr>
              <w:rPr>
                <w:b/>
                <w:u w:val="single"/>
              </w:rPr>
            </w:pPr>
          </w:p>
        </w:tc>
      </w:tr>
      <w:tr w:rsidR="0090112D" w14:paraId="27ACA45A" w14:textId="77777777" w:rsidTr="00345119">
        <w:tc>
          <w:tcPr>
            <w:tcW w:w="9576" w:type="dxa"/>
          </w:tcPr>
          <w:p w14:paraId="0353C2E1" w14:textId="77777777" w:rsidR="008423E4" w:rsidRPr="00A8133F" w:rsidRDefault="003B2423" w:rsidP="00286046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3F67E49D" w14:textId="77777777" w:rsidR="008423E4" w:rsidRDefault="008423E4" w:rsidP="00286046"/>
          <w:p w14:paraId="55C6ABEF" w14:textId="41BED248" w:rsidR="00B37448" w:rsidRDefault="003B2423" w:rsidP="0028604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</w:t>
            </w:r>
            <w:r>
              <w:t>at this bill does not expressly grant any additional rulemaking authority to a state officer, department, agency, or institution.</w:t>
            </w:r>
          </w:p>
          <w:p w14:paraId="7776E7EF" w14:textId="77777777" w:rsidR="008423E4" w:rsidRPr="00E21FDC" w:rsidRDefault="008423E4" w:rsidP="00286046">
            <w:pPr>
              <w:rPr>
                <w:b/>
              </w:rPr>
            </w:pPr>
          </w:p>
        </w:tc>
      </w:tr>
      <w:tr w:rsidR="0090112D" w14:paraId="2E836C6C" w14:textId="77777777" w:rsidTr="00345119">
        <w:tc>
          <w:tcPr>
            <w:tcW w:w="9576" w:type="dxa"/>
          </w:tcPr>
          <w:p w14:paraId="2529D329" w14:textId="77777777" w:rsidR="008423E4" w:rsidRPr="00A8133F" w:rsidRDefault="003B2423" w:rsidP="00286046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509683CA" w14:textId="77777777" w:rsidR="008423E4" w:rsidRDefault="008423E4" w:rsidP="00286046"/>
          <w:p w14:paraId="5689D3A1" w14:textId="13819111" w:rsidR="00B01051" w:rsidRDefault="003B2423" w:rsidP="0028604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1097</w:t>
            </w:r>
            <w:r w:rsidR="00F02ABB">
              <w:t xml:space="preserve"> amends the Health and Safety Code </w:t>
            </w:r>
            <w:r w:rsidR="00B31C5A">
              <w:t xml:space="preserve">to establish that a municipal </w:t>
            </w:r>
            <w:r w:rsidR="00305666">
              <w:t xml:space="preserve">hospital authority </w:t>
            </w:r>
            <w:r>
              <w:t xml:space="preserve">that </w:t>
            </w:r>
            <w:r w:rsidR="00245AAB">
              <w:t xml:space="preserve">is wholly located in a county with a population of less than 70,000 and that </w:t>
            </w:r>
            <w:r>
              <w:t>enters into a contract to sell a</w:t>
            </w:r>
            <w:r w:rsidR="00245AAB">
              <w:t xml:space="preserve"> hospital</w:t>
            </w:r>
            <w:r>
              <w:t xml:space="preserve"> owned </w:t>
            </w:r>
            <w:r w:rsidR="00245AAB">
              <w:t xml:space="preserve">by the authority </w:t>
            </w:r>
            <w:r>
              <w:t>waives governmental immunity to a suit for the purpose of adjudicating a claim for breach of the contract. The bil</w:t>
            </w:r>
            <w:r>
              <w:t xml:space="preserve">l prohibits a claimant </w:t>
            </w:r>
            <w:r w:rsidR="00AF401D">
              <w:t>for</w:t>
            </w:r>
            <w:r w:rsidR="004850D6">
              <w:t xml:space="preserve"> such a breach of contract claim </w:t>
            </w:r>
            <w:r>
              <w:t xml:space="preserve">from being awarded </w:t>
            </w:r>
            <w:r w:rsidR="004850D6">
              <w:t xml:space="preserve">consequential or exemplary damages or a total amount that exceeds the amount due and owed by the </w:t>
            </w:r>
            <w:r w:rsidR="00A734A6">
              <w:t xml:space="preserve">municipal hospital </w:t>
            </w:r>
            <w:r w:rsidR="004850D6">
              <w:t>authority under the contract</w:t>
            </w:r>
            <w:r>
              <w:t>.</w:t>
            </w:r>
          </w:p>
          <w:p w14:paraId="01CE0406" w14:textId="77777777" w:rsidR="004850D6" w:rsidRDefault="004850D6" w:rsidP="0028604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4AA9767B" w14:textId="5AD75414" w:rsidR="00B01051" w:rsidRPr="009C36CD" w:rsidRDefault="003B2423" w:rsidP="0028604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S.B. 1097 authorizes </w:t>
            </w:r>
            <w:r w:rsidR="00A734A6">
              <w:t xml:space="preserve">a </w:t>
            </w:r>
            <w:r w:rsidR="00B37448">
              <w:t>municipal hospital authority</w:t>
            </w:r>
            <w:r w:rsidR="00A734A6">
              <w:t xml:space="preserve"> that enters into such a contract</w:t>
            </w:r>
            <w:r w:rsidR="00B37448">
              <w:t xml:space="preserve"> to indemnify the purchaser of the hospital according to the terms of the </w:t>
            </w:r>
            <w:r w:rsidR="00AF401D">
              <w:t>contract</w:t>
            </w:r>
            <w:r w:rsidR="00B37448">
              <w:t xml:space="preserve">. The bill applies only to a contract entered into on or after the bill's effective date. </w:t>
            </w:r>
          </w:p>
          <w:p w14:paraId="05231904" w14:textId="77777777" w:rsidR="008423E4" w:rsidRPr="00835628" w:rsidRDefault="008423E4" w:rsidP="00286046">
            <w:pPr>
              <w:rPr>
                <w:b/>
              </w:rPr>
            </w:pPr>
          </w:p>
        </w:tc>
      </w:tr>
      <w:tr w:rsidR="0090112D" w14:paraId="020B758B" w14:textId="77777777" w:rsidTr="00345119">
        <w:tc>
          <w:tcPr>
            <w:tcW w:w="9576" w:type="dxa"/>
          </w:tcPr>
          <w:p w14:paraId="02E32708" w14:textId="77777777" w:rsidR="008423E4" w:rsidRPr="00A8133F" w:rsidRDefault="003B2423" w:rsidP="00286046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5F5D0F6F" w14:textId="77777777" w:rsidR="008423E4" w:rsidRDefault="008423E4" w:rsidP="00286046"/>
          <w:p w14:paraId="1025F1A4" w14:textId="11C17AC8" w:rsidR="008423E4" w:rsidRPr="003624F2" w:rsidRDefault="003B2423" w:rsidP="0028604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On </w:t>
            </w:r>
            <w:r>
              <w:t>passage, or, if the bill does not receive the necessary vote, September 1, 2023.</w:t>
            </w:r>
          </w:p>
          <w:p w14:paraId="1AB3E2AB" w14:textId="77777777" w:rsidR="008423E4" w:rsidRPr="00233FDB" w:rsidRDefault="008423E4" w:rsidP="00286046">
            <w:pPr>
              <w:rPr>
                <w:b/>
              </w:rPr>
            </w:pPr>
          </w:p>
        </w:tc>
      </w:tr>
    </w:tbl>
    <w:p w14:paraId="0CA90A8C" w14:textId="77777777" w:rsidR="008423E4" w:rsidRPr="00BE0E75" w:rsidRDefault="008423E4" w:rsidP="00286046">
      <w:pPr>
        <w:jc w:val="both"/>
        <w:rPr>
          <w:rFonts w:ascii="Arial" w:hAnsi="Arial"/>
          <w:sz w:val="16"/>
          <w:szCs w:val="16"/>
        </w:rPr>
      </w:pPr>
    </w:p>
    <w:p w14:paraId="4C06676A" w14:textId="77777777" w:rsidR="004108C3" w:rsidRPr="008423E4" w:rsidRDefault="004108C3" w:rsidP="00286046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3F00E" w14:textId="77777777" w:rsidR="00000000" w:rsidRDefault="003B2423">
      <w:r>
        <w:separator/>
      </w:r>
    </w:p>
  </w:endnote>
  <w:endnote w:type="continuationSeparator" w:id="0">
    <w:p w14:paraId="459B3929" w14:textId="77777777" w:rsidR="00000000" w:rsidRDefault="003B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90CDB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90112D" w14:paraId="3C7D8742" w14:textId="77777777" w:rsidTr="009C1E9A">
      <w:trPr>
        <w:cantSplit/>
      </w:trPr>
      <w:tc>
        <w:tcPr>
          <w:tcW w:w="0" w:type="pct"/>
        </w:tcPr>
        <w:p w14:paraId="49C8BB74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34CC2C54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17CD6E88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3F160CFB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4BFCCE27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90112D" w14:paraId="7380BCA3" w14:textId="77777777" w:rsidTr="009C1E9A">
      <w:trPr>
        <w:cantSplit/>
      </w:trPr>
      <w:tc>
        <w:tcPr>
          <w:tcW w:w="0" w:type="pct"/>
        </w:tcPr>
        <w:p w14:paraId="36BAC7B1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368BAD8A" w14:textId="37D37DB4" w:rsidR="00EC379B" w:rsidRPr="009C1E9A" w:rsidRDefault="003B2423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27108-D</w:t>
          </w:r>
        </w:p>
      </w:tc>
      <w:tc>
        <w:tcPr>
          <w:tcW w:w="2453" w:type="pct"/>
        </w:tcPr>
        <w:p w14:paraId="278D519D" w14:textId="3D3C7205" w:rsidR="00EC379B" w:rsidRDefault="003B2423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B05FC9">
            <w:t>23.119.590</w:t>
          </w:r>
          <w:r>
            <w:fldChar w:fldCharType="end"/>
          </w:r>
        </w:p>
      </w:tc>
    </w:tr>
    <w:tr w:rsidR="0090112D" w14:paraId="252AF0FA" w14:textId="77777777" w:rsidTr="009C1E9A">
      <w:trPr>
        <w:cantSplit/>
      </w:trPr>
      <w:tc>
        <w:tcPr>
          <w:tcW w:w="0" w:type="pct"/>
        </w:tcPr>
        <w:p w14:paraId="2CD1B9CB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04D16EE6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71983256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76D003B3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90112D" w14:paraId="00BD82E5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7B6B5F8A" w14:textId="77777777" w:rsidR="00EC379B" w:rsidRDefault="003B2423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613D1E3A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01534D48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FA810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33AA6" w14:textId="77777777" w:rsidR="00000000" w:rsidRDefault="003B2423">
      <w:r>
        <w:separator/>
      </w:r>
    </w:p>
  </w:footnote>
  <w:footnote w:type="continuationSeparator" w:id="0">
    <w:p w14:paraId="5DFB9EB3" w14:textId="77777777" w:rsidR="00000000" w:rsidRDefault="003B2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14B1D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497B6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CB450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60034"/>
    <w:multiLevelType w:val="hybridMultilevel"/>
    <w:tmpl w:val="F942235A"/>
    <w:lvl w:ilvl="0" w:tplc="04C201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CECD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B4D5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E2E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6233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382C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7E78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65F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EC05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7204A"/>
    <w:multiLevelType w:val="hybridMultilevel"/>
    <w:tmpl w:val="7ABA9D62"/>
    <w:lvl w:ilvl="0" w:tplc="0C02FBA6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ADCC0FE4" w:tentative="1">
      <w:start w:val="1"/>
      <w:numFmt w:val="lowerLetter"/>
      <w:lvlText w:val="%2."/>
      <w:lvlJc w:val="left"/>
      <w:pPr>
        <w:ind w:left="1440" w:hanging="360"/>
      </w:pPr>
    </w:lvl>
    <w:lvl w:ilvl="2" w:tplc="16F8A578" w:tentative="1">
      <w:start w:val="1"/>
      <w:numFmt w:val="lowerRoman"/>
      <w:lvlText w:val="%3."/>
      <w:lvlJc w:val="right"/>
      <w:pPr>
        <w:ind w:left="2160" w:hanging="180"/>
      </w:pPr>
    </w:lvl>
    <w:lvl w:ilvl="3" w:tplc="6556F904" w:tentative="1">
      <w:start w:val="1"/>
      <w:numFmt w:val="decimal"/>
      <w:lvlText w:val="%4."/>
      <w:lvlJc w:val="left"/>
      <w:pPr>
        <w:ind w:left="2880" w:hanging="360"/>
      </w:pPr>
    </w:lvl>
    <w:lvl w:ilvl="4" w:tplc="A072B45E" w:tentative="1">
      <w:start w:val="1"/>
      <w:numFmt w:val="lowerLetter"/>
      <w:lvlText w:val="%5."/>
      <w:lvlJc w:val="left"/>
      <w:pPr>
        <w:ind w:left="3600" w:hanging="360"/>
      </w:pPr>
    </w:lvl>
    <w:lvl w:ilvl="5" w:tplc="F8903540" w:tentative="1">
      <w:start w:val="1"/>
      <w:numFmt w:val="lowerRoman"/>
      <w:lvlText w:val="%6."/>
      <w:lvlJc w:val="right"/>
      <w:pPr>
        <w:ind w:left="4320" w:hanging="180"/>
      </w:pPr>
    </w:lvl>
    <w:lvl w:ilvl="6" w:tplc="3972338E" w:tentative="1">
      <w:start w:val="1"/>
      <w:numFmt w:val="decimal"/>
      <w:lvlText w:val="%7."/>
      <w:lvlJc w:val="left"/>
      <w:pPr>
        <w:ind w:left="5040" w:hanging="360"/>
      </w:pPr>
    </w:lvl>
    <w:lvl w:ilvl="7" w:tplc="5AF4A84A" w:tentative="1">
      <w:start w:val="1"/>
      <w:numFmt w:val="lowerLetter"/>
      <w:lvlText w:val="%8."/>
      <w:lvlJc w:val="left"/>
      <w:pPr>
        <w:ind w:left="5760" w:hanging="360"/>
      </w:pPr>
    </w:lvl>
    <w:lvl w:ilvl="8" w:tplc="A998A96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359856">
    <w:abstractNumId w:val="0"/>
  </w:num>
  <w:num w:numId="2" w16cid:durableId="1031762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EE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6546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29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5AAB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6046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05666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423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062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850D6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78C"/>
    <w:rsid w:val="004E0E60"/>
    <w:rsid w:val="004E12A3"/>
    <w:rsid w:val="004E2492"/>
    <w:rsid w:val="004E3096"/>
    <w:rsid w:val="004E31EE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0FB8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1D4B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08C6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219F"/>
    <w:rsid w:val="008C3FD0"/>
    <w:rsid w:val="008D1CE5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12D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1E3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734A6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53F"/>
    <w:rsid w:val="00AE2D12"/>
    <w:rsid w:val="00AE2F06"/>
    <w:rsid w:val="00AE4F1C"/>
    <w:rsid w:val="00AF1433"/>
    <w:rsid w:val="00AF401D"/>
    <w:rsid w:val="00AF48B4"/>
    <w:rsid w:val="00AF4923"/>
    <w:rsid w:val="00AF7C74"/>
    <w:rsid w:val="00B000AF"/>
    <w:rsid w:val="00B01051"/>
    <w:rsid w:val="00B04E79"/>
    <w:rsid w:val="00B05FC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C5A"/>
    <w:rsid w:val="00B31F0E"/>
    <w:rsid w:val="00B34F25"/>
    <w:rsid w:val="00B37448"/>
    <w:rsid w:val="00B43672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1E21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07E4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450"/>
    <w:rsid w:val="00ED19F0"/>
    <w:rsid w:val="00ED2B50"/>
    <w:rsid w:val="00ED3A32"/>
    <w:rsid w:val="00ED3BDE"/>
    <w:rsid w:val="00ED68FB"/>
    <w:rsid w:val="00ED783A"/>
    <w:rsid w:val="00EE1323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2ABB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1B87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7844C46-28BF-41CB-A89A-301D85AA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B3744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374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3744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37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37448"/>
    <w:rPr>
      <w:b/>
      <w:bCs/>
    </w:rPr>
  </w:style>
  <w:style w:type="paragraph" w:styleId="Revision">
    <w:name w:val="Revision"/>
    <w:hidden/>
    <w:uiPriority w:val="99"/>
    <w:semiHidden/>
    <w:rsid w:val="00AF401D"/>
    <w:rPr>
      <w:sz w:val="24"/>
      <w:szCs w:val="24"/>
    </w:rPr>
  </w:style>
  <w:style w:type="character" w:styleId="Hyperlink">
    <w:name w:val="Hyperlink"/>
    <w:basedOn w:val="DefaultParagraphFont"/>
    <w:unhideWhenUsed/>
    <w:rsid w:val="00810FB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0F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245A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2557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SB01097 (Committee Report (Unamended))</vt:lpstr>
    </vt:vector>
  </TitlesOfParts>
  <Company>State of Texas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27108</dc:subject>
  <dc:creator>State of Texas</dc:creator>
  <dc:description>SB 1097 by Parker-(H)Judiciary &amp; Civil Jurisprudence</dc:description>
  <cp:lastModifiedBy>Damian Duarte</cp:lastModifiedBy>
  <cp:revision>2</cp:revision>
  <cp:lastPrinted>2003-11-26T17:21:00Z</cp:lastPrinted>
  <dcterms:created xsi:type="dcterms:W3CDTF">2023-05-02T21:38:00Z</dcterms:created>
  <dcterms:modified xsi:type="dcterms:W3CDTF">2023-05-02T21:38:00Z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23.119.590</vt:lpwstr>
  </property>
</Properties>
</file>