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112046" w14:paraId="6EE0C613" w14:textId="77777777" w:rsidTr="00345119">
        <w:tc>
          <w:tcPr>
            <w:tcW w:w="9576" w:type="dxa"/>
            <w:noWrap/>
          </w:tcPr>
          <w:p w14:paraId="54EBA333" w14:textId="77777777" w:rsidR="008423E4" w:rsidRPr="0022177D" w:rsidRDefault="00D24BBA" w:rsidP="00F526F7">
            <w:pPr>
              <w:pStyle w:val="Heading1"/>
              <w:mirrorIndents/>
            </w:pPr>
            <w:r w:rsidRPr="00631897">
              <w:t>BILL ANALYSIS</w:t>
            </w:r>
          </w:p>
        </w:tc>
      </w:tr>
    </w:tbl>
    <w:p w14:paraId="401BABFB" w14:textId="77777777" w:rsidR="008423E4" w:rsidRPr="0022177D" w:rsidRDefault="008423E4" w:rsidP="00F526F7">
      <w:pPr>
        <w:mirrorIndents/>
        <w:jc w:val="center"/>
      </w:pPr>
    </w:p>
    <w:p w14:paraId="00A19760" w14:textId="77777777" w:rsidR="008423E4" w:rsidRPr="00B31F0E" w:rsidRDefault="008423E4" w:rsidP="00F526F7">
      <w:pPr>
        <w:mirrorIndents/>
      </w:pPr>
    </w:p>
    <w:p w14:paraId="5238F386" w14:textId="77777777" w:rsidR="008423E4" w:rsidRPr="00742794" w:rsidRDefault="008423E4" w:rsidP="00F526F7">
      <w:pPr>
        <w:tabs>
          <w:tab w:val="right" w:pos="9360"/>
        </w:tabs>
        <w:mirrorIndents/>
      </w:pPr>
    </w:p>
    <w:tbl>
      <w:tblPr>
        <w:tblW w:w="0" w:type="auto"/>
        <w:tblLayout w:type="fixed"/>
        <w:tblLook w:val="01E0" w:firstRow="1" w:lastRow="1" w:firstColumn="1" w:lastColumn="1" w:noHBand="0" w:noVBand="0"/>
      </w:tblPr>
      <w:tblGrid>
        <w:gridCol w:w="9576"/>
      </w:tblGrid>
      <w:tr w:rsidR="00112046" w14:paraId="40D988D5" w14:textId="77777777" w:rsidTr="00345119">
        <w:tc>
          <w:tcPr>
            <w:tcW w:w="9576" w:type="dxa"/>
          </w:tcPr>
          <w:p w14:paraId="6DE3379E" w14:textId="77777777" w:rsidR="008423E4" w:rsidRPr="00861995" w:rsidRDefault="00D24BBA" w:rsidP="00F526F7">
            <w:pPr>
              <w:mirrorIndents/>
              <w:jc w:val="right"/>
            </w:pPr>
            <w:r>
              <w:t>S.B. 1133</w:t>
            </w:r>
          </w:p>
        </w:tc>
      </w:tr>
      <w:tr w:rsidR="00112046" w14:paraId="1A7D1E05" w14:textId="77777777" w:rsidTr="00345119">
        <w:tc>
          <w:tcPr>
            <w:tcW w:w="9576" w:type="dxa"/>
          </w:tcPr>
          <w:p w14:paraId="74632486" w14:textId="77777777" w:rsidR="008423E4" w:rsidRPr="00861995" w:rsidRDefault="00D24BBA" w:rsidP="00F526F7">
            <w:pPr>
              <w:mirrorIndents/>
              <w:jc w:val="right"/>
            </w:pPr>
            <w:r>
              <w:t xml:space="preserve">By: </w:t>
            </w:r>
            <w:r w:rsidR="00AC4004">
              <w:t>Blanco</w:t>
            </w:r>
          </w:p>
        </w:tc>
      </w:tr>
      <w:tr w:rsidR="00112046" w14:paraId="7E0A45E9" w14:textId="77777777" w:rsidTr="00345119">
        <w:tc>
          <w:tcPr>
            <w:tcW w:w="9576" w:type="dxa"/>
          </w:tcPr>
          <w:p w14:paraId="4CF56AAD" w14:textId="77777777" w:rsidR="008423E4" w:rsidRPr="00861995" w:rsidRDefault="00D24BBA" w:rsidP="00F526F7">
            <w:pPr>
              <w:mirrorIndents/>
              <w:jc w:val="right"/>
            </w:pPr>
            <w:r>
              <w:t>State Affairs</w:t>
            </w:r>
          </w:p>
        </w:tc>
      </w:tr>
      <w:tr w:rsidR="00112046" w14:paraId="1EB4412F" w14:textId="77777777" w:rsidTr="00345119">
        <w:tc>
          <w:tcPr>
            <w:tcW w:w="9576" w:type="dxa"/>
          </w:tcPr>
          <w:p w14:paraId="6B28FE64" w14:textId="77777777" w:rsidR="008423E4" w:rsidRDefault="00D24BBA" w:rsidP="00F526F7">
            <w:pPr>
              <w:mirrorIndents/>
              <w:jc w:val="right"/>
            </w:pPr>
            <w:r>
              <w:t>Committee Report (Unamended)</w:t>
            </w:r>
          </w:p>
        </w:tc>
      </w:tr>
    </w:tbl>
    <w:p w14:paraId="04356F7C" w14:textId="77777777" w:rsidR="008423E4" w:rsidRDefault="008423E4" w:rsidP="00F526F7">
      <w:pPr>
        <w:tabs>
          <w:tab w:val="right" w:pos="9360"/>
        </w:tabs>
        <w:mirrorIndents/>
      </w:pPr>
    </w:p>
    <w:p w14:paraId="11029F7F" w14:textId="77777777" w:rsidR="008423E4" w:rsidRDefault="008423E4" w:rsidP="00F526F7">
      <w:pPr>
        <w:mirrorIndents/>
      </w:pPr>
    </w:p>
    <w:p w14:paraId="2CAD8E80" w14:textId="77777777" w:rsidR="008423E4" w:rsidRDefault="008423E4" w:rsidP="00F526F7">
      <w:pPr>
        <w:mirrorIndents/>
      </w:pPr>
    </w:p>
    <w:tbl>
      <w:tblPr>
        <w:tblW w:w="0" w:type="auto"/>
        <w:tblCellMar>
          <w:left w:w="115" w:type="dxa"/>
          <w:right w:w="115" w:type="dxa"/>
        </w:tblCellMar>
        <w:tblLook w:val="01E0" w:firstRow="1" w:lastRow="1" w:firstColumn="1" w:lastColumn="1" w:noHBand="0" w:noVBand="0"/>
      </w:tblPr>
      <w:tblGrid>
        <w:gridCol w:w="9360"/>
      </w:tblGrid>
      <w:tr w:rsidR="00112046" w14:paraId="035AE086" w14:textId="77777777" w:rsidTr="00345119">
        <w:tc>
          <w:tcPr>
            <w:tcW w:w="9576" w:type="dxa"/>
          </w:tcPr>
          <w:p w14:paraId="1940834B" w14:textId="77777777" w:rsidR="008423E4" w:rsidRPr="00A8133F" w:rsidRDefault="00D24BBA" w:rsidP="00F526F7">
            <w:pPr>
              <w:mirrorIndents/>
              <w:rPr>
                <w:b/>
              </w:rPr>
            </w:pPr>
            <w:r w:rsidRPr="009C1E9A">
              <w:rPr>
                <w:b/>
                <w:u w:val="single"/>
              </w:rPr>
              <w:t>BACKGROUND AND PURPOSE</w:t>
            </w:r>
            <w:r>
              <w:rPr>
                <w:b/>
              </w:rPr>
              <w:t xml:space="preserve"> </w:t>
            </w:r>
          </w:p>
          <w:p w14:paraId="5AF98FF6" w14:textId="77777777" w:rsidR="008423E4" w:rsidRDefault="008423E4" w:rsidP="00F526F7">
            <w:pPr>
              <w:mirrorIndents/>
            </w:pPr>
          </w:p>
          <w:p w14:paraId="3314C7A7" w14:textId="41C3F5FE" w:rsidR="008423E4" w:rsidRDefault="00D24BBA" w:rsidP="00F526F7">
            <w:pPr>
              <w:pStyle w:val="Header"/>
              <w:tabs>
                <w:tab w:val="clear" w:pos="4320"/>
                <w:tab w:val="clear" w:pos="8640"/>
              </w:tabs>
              <w:mirrorIndents/>
              <w:jc w:val="both"/>
            </w:pPr>
            <w:r w:rsidRPr="000E0DCD">
              <w:t>According to the Senate Committee on Border Security</w:t>
            </w:r>
            <w:r>
              <w:t>'s</w:t>
            </w:r>
            <w:r w:rsidRPr="000E0DCD">
              <w:t xml:space="preserve"> Interim Report to the 88th </w:t>
            </w:r>
            <w:r>
              <w:t xml:space="preserve">Texas </w:t>
            </w:r>
            <w:r w:rsidRPr="000E0DCD">
              <w:t>Legislature, increased migrant and law enforcement activity, particularly within border and rural counties, has left many landowners with record financial losses and property damage in the form of destroyed crops, fence damage, outhouses, farm equipment</w:t>
            </w:r>
            <w:r>
              <w:t>,</w:t>
            </w:r>
            <w:r w:rsidRPr="000E0DCD">
              <w:t xml:space="preserve"> and lost livestock. S.B. 1133 </w:t>
            </w:r>
            <w:r>
              <w:t>seeks to</w:t>
            </w:r>
            <w:r w:rsidRPr="000E0DCD">
              <w:t xml:space="preserve"> establish a grant program under the Office of the Attorney General to compensate landowners who suffered property damage on agricultural land by a trespasser in the course of smuggling of persons, </w:t>
            </w:r>
            <w:r>
              <w:t>evading arrest or detention</w:t>
            </w:r>
            <w:r w:rsidRPr="000E0DCD">
              <w:t xml:space="preserve">, human trafficking, </w:t>
            </w:r>
            <w:r>
              <w:t>or</w:t>
            </w:r>
            <w:r w:rsidRPr="000E0DCD">
              <w:t xml:space="preserve"> drug trafficking.</w:t>
            </w:r>
          </w:p>
          <w:p w14:paraId="3F3C321A" w14:textId="77777777" w:rsidR="008423E4" w:rsidRPr="00E26B13" w:rsidRDefault="008423E4" w:rsidP="00F526F7">
            <w:pPr>
              <w:mirrorIndents/>
              <w:rPr>
                <w:b/>
              </w:rPr>
            </w:pPr>
          </w:p>
        </w:tc>
      </w:tr>
      <w:tr w:rsidR="00112046" w14:paraId="3DB8F589" w14:textId="77777777" w:rsidTr="00345119">
        <w:tc>
          <w:tcPr>
            <w:tcW w:w="9576" w:type="dxa"/>
          </w:tcPr>
          <w:p w14:paraId="50641652" w14:textId="77777777" w:rsidR="0017725B" w:rsidRDefault="00D24BBA" w:rsidP="00F526F7">
            <w:pPr>
              <w:mirrorIndents/>
              <w:rPr>
                <w:b/>
                <w:u w:val="single"/>
              </w:rPr>
            </w:pPr>
            <w:r>
              <w:rPr>
                <w:b/>
                <w:u w:val="single"/>
              </w:rPr>
              <w:t>CRIMINAL JUSTICE IMPACT</w:t>
            </w:r>
          </w:p>
          <w:p w14:paraId="2AB936FC" w14:textId="77777777" w:rsidR="0017725B" w:rsidRDefault="0017725B" w:rsidP="00F526F7">
            <w:pPr>
              <w:mirrorIndents/>
              <w:rPr>
                <w:b/>
                <w:u w:val="single"/>
              </w:rPr>
            </w:pPr>
          </w:p>
          <w:p w14:paraId="59EF8880" w14:textId="55548F49" w:rsidR="005B2023" w:rsidRPr="005B2023" w:rsidRDefault="00D24BBA" w:rsidP="00F526F7">
            <w:pPr>
              <w:mirrorIndents/>
              <w:jc w:val="both"/>
            </w:pPr>
            <w: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14:paraId="0F86B420" w14:textId="77777777" w:rsidR="0017725B" w:rsidRPr="0017725B" w:rsidRDefault="0017725B" w:rsidP="00F526F7">
            <w:pPr>
              <w:mirrorIndents/>
              <w:rPr>
                <w:b/>
                <w:u w:val="single"/>
              </w:rPr>
            </w:pPr>
          </w:p>
        </w:tc>
      </w:tr>
      <w:tr w:rsidR="00112046" w14:paraId="3E8400F3" w14:textId="77777777" w:rsidTr="00345119">
        <w:tc>
          <w:tcPr>
            <w:tcW w:w="9576" w:type="dxa"/>
          </w:tcPr>
          <w:p w14:paraId="7BB04E4D" w14:textId="77777777" w:rsidR="008423E4" w:rsidRPr="00A8133F" w:rsidRDefault="00D24BBA" w:rsidP="00F526F7">
            <w:pPr>
              <w:mirrorIndents/>
              <w:rPr>
                <w:b/>
              </w:rPr>
            </w:pPr>
            <w:r w:rsidRPr="009C1E9A">
              <w:rPr>
                <w:b/>
                <w:u w:val="single"/>
              </w:rPr>
              <w:t>RULEMAKING AUTHORITY</w:t>
            </w:r>
            <w:r>
              <w:rPr>
                <w:b/>
              </w:rPr>
              <w:t xml:space="preserve"> </w:t>
            </w:r>
          </w:p>
          <w:p w14:paraId="35B8CF64" w14:textId="77777777" w:rsidR="008423E4" w:rsidRDefault="008423E4" w:rsidP="00F526F7">
            <w:pPr>
              <w:mirrorIndents/>
            </w:pPr>
          </w:p>
          <w:p w14:paraId="7669C90A" w14:textId="4C12808E" w:rsidR="005B2023" w:rsidRDefault="00D24BBA" w:rsidP="00F526F7">
            <w:pPr>
              <w:pStyle w:val="Header"/>
              <w:tabs>
                <w:tab w:val="clear" w:pos="4320"/>
                <w:tab w:val="clear" w:pos="8640"/>
              </w:tabs>
              <w:mirrorIndents/>
              <w:jc w:val="both"/>
            </w:pPr>
            <w:r>
              <w:t>It is the committee's opinion that rulemaking authority is expressly granted to the attorney general in SECTION 1 of this bill.</w:t>
            </w:r>
          </w:p>
          <w:p w14:paraId="26770192" w14:textId="77777777" w:rsidR="008423E4" w:rsidRPr="00E21FDC" w:rsidRDefault="008423E4" w:rsidP="00F526F7">
            <w:pPr>
              <w:mirrorIndents/>
              <w:rPr>
                <w:b/>
              </w:rPr>
            </w:pPr>
          </w:p>
        </w:tc>
      </w:tr>
      <w:tr w:rsidR="00112046" w14:paraId="10E152F0" w14:textId="77777777" w:rsidTr="00345119">
        <w:tc>
          <w:tcPr>
            <w:tcW w:w="9576" w:type="dxa"/>
          </w:tcPr>
          <w:p w14:paraId="69254BFB" w14:textId="77777777" w:rsidR="008423E4" w:rsidRPr="00A8133F" w:rsidRDefault="00D24BBA" w:rsidP="00F526F7">
            <w:pPr>
              <w:mirrorIndents/>
              <w:rPr>
                <w:b/>
              </w:rPr>
            </w:pPr>
            <w:r w:rsidRPr="009C1E9A">
              <w:rPr>
                <w:b/>
                <w:u w:val="single"/>
              </w:rPr>
              <w:t>ANALYSIS</w:t>
            </w:r>
            <w:r>
              <w:rPr>
                <w:b/>
              </w:rPr>
              <w:t xml:space="preserve"> </w:t>
            </w:r>
          </w:p>
          <w:p w14:paraId="56E0D6FD" w14:textId="77777777" w:rsidR="008423E4" w:rsidRDefault="008423E4" w:rsidP="00F526F7">
            <w:pPr>
              <w:mirrorIndents/>
            </w:pPr>
          </w:p>
          <w:p w14:paraId="322E6188" w14:textId="77777777" w:rsidR="002B0D30" w:rsidRDefault="00D24BBA" w:rsidP="00F526F7">
            <w:pPr>
              <w:pStyle w:val="Header"/>
              <w:mirrorIndents/>
              <w:jc w:val="both"/>
            </w:pPr>
            <w:r>
              <w:t>S.B. 1133 amends the Code of Criminal Procedure to require the attorney general, from money appropriated for the purpose, to establish and administer a program to compensate landowners who suffer property damage on agricultural land caused by the following:</w:t>
            </w:r>
          </w:p>
          <w:p w14:paraId="135DDBD6" w14:textId="434135AF" w:rsidR="002B0D30" w:rsidRDefault="00D24BBA" w:rsidP="00F526F7">
            <w:pPr>
              <w:pStyle w:val="Header"/>
              <w:numPr>
                <w:ilvl w:val="0"/>
                <w:numId w:val="5"/>
              </w:numPr>
              <w:mirrorIndents/>
              <w:jc w:val="both"/>
            </w:pPr>
            <w:r>
              <w:t>a trespasser as a result of an offense of arson, criminal mischief, or other property damage or destruction that was committed in the course of or in furtherance of a border crime</w:t>
            </w:r>
            <w:r w:rsidR="007C73DC">
              <w:t>;</w:t>
            </w:r>
            <w:r>
              <w:t xml:space="preserve"> or</w:t>
            </w:r>
          </w:p>
          <w:p w14:paraId="06250CED" w14:textId="2741AF9A" w:rsidR="002B0D30" w:rsidRDefault="00D24BBA" w:rsidP="00F526F7">
            <w:pPr>
              <w:pStyle w:val="Header"/>
              <w:numPr>
                <w:ilvl w:val="0"/>
                <w:numId w:val="5"/>
              </w:numPr>
              <w:mirrorIndents/>
              <w:jc w:val="both"/>
            </w:pPr>
            <w:r>
              <w:t>a law enforcement response to a trespasser who was engaged in a border crime.</w:t>
            </w:r>
          </w:p>
          <w:p w14:paraId="48222D8E" w14:textId="1DFA75FF" w:rsidR="00C54B7D" w:rsidRDefault="00D24BBA" w:rsidP="00F526F7">
            <w:pPr>
              <w:pStyle w:val="Header"/>
              <w:mirrorIndents/>
              <w:jc w:val="both"/>
            </w:pPr>
            <w:r>
              <w:t xml:space="preserve">The bill </w:t>
            </w:r>
            <w:r w:rsidR="005B2023">
              <w:t>establishes that the compensation program is a payer of last resort for such real property damage</w:t>
            </w:r>
            <w:r w:rsidR="002B0D30">
              <w:t xml:space="preserve"> and</w:t>
            </w:r>
            <w:r w:rsidR="005B2023">
              <w:t xml:space="preserve"> </w:t>
            </w:r>
            <w:r>
              <w:t>defines the following terms:</w:t>
            </w:r>
          </w:p>
          <w:p w14:paraId="57A05E35" w14:textId="27029549" w:rsidR="00C54B7D" w:rsidRDefault="00D24BBA" w:rsidP="00F526F7">
            <w:pPr>
              <w:pStyle w:val="Header"/>
              <w:numPr>
                <w:ilvl w:val="0"/>
                <w:numId w:val="4"/>
              </w:numPr>
              <w:mirrorIndents/>
              <w:jc w:val="both"/>
            </w:pPr>
            <w:r>
              <w:t>"agricultural land" as any land the use of which qualifies the land for special appraisal as open-space land;</w:t>
            </w:r>
          </w:p>
          <w:p w14:paraId="0AA49CF4" w14:textId="3DB0BAF7" w:rsidR="009C36CD" w:rsidRDefault="00D24BBA" w:rsidP="00F526F7">
            <w:pPr>
              <w:pStyle w:val="Header"/>
              <w:numPr>
                <w:ilvl w:val="0"/>
                <w:numId w:val="4"/>
              </w:numPr>
              <w:mirrorIndents/>
              <w:jc w:val="both"/>
            </w:pPr>
            <w:r>
              <w:t>"border crime" as any conduct</w:t>
            </w:r>
            <w:r w:rsidR="00D360DF">
              <w:t xml:space="preserve"> involving transnational criminal activity that also constitutes the smuggling of persons, evading arrest or detention, a trafficking of persons offense, or an offense under the Texas Controlled Substances Act</w:t>
            </w:r>
            <w:r w:rsidR="00C54B7D">
              <w:t>; and</w:t>
            </w:r>
          </w:p>
          <w:p w14:paraId="40015891" w14:textId="02F70339" w:rsidR="00C54B7D" w:rsidRDefault="00D24BBA" w:rsidP="00F526F7">
            <w:pPr>
              <w:pStyle w:val="Header"/>
              <w:numPr>
                <w:ilvl w:val="0"/>
                <w:numId w:val="4"/>
              </w:numPr>
              <w:mirrorIndents/>
              <w:jc w:val="both"/>
            </w:pPr>
            <w:r>
              <w:t xml:space="preserve">"trespasser" </w:t>
            </w:r>
            <w:r w:rsidR="002B0D30">
              <w:t xml:space="preserve">by reference </w:t>
            </w:r>
            <w:r>
              <w:t xml:space="preserve">as </w:t>
            </w:r>
            <w:r w:rsidRPr="00C54B7D">
              <w:t>a person who enters the land of another without any legal right, express or implied.</w:t>
            </w:r>
          </w:p>
          <w:p w14:paraId="77D8774E" w14:textId="4665EDA3" w:rsidR="00D360DF" w:rsidRDefault="00D360DF" w:rsidP="00F526F7">
            <w:pPr>
              <w:pStyle w:val="Header"/>
              <w:mirrorIndents/>
              <w:jc w:val="both"/>
            </w:pPr>
          </w:p>
          <w:p w14:paraId="4F5A5B42" w14:textId="5AFC1F9A" w:rsidR="00D360DF" w:rsidRDefault="00D24BBA" w:rsidP="00F526F7">
            <w:pPr>
              <w:pStyle w:val="Header"/>
              <w:mirrorIndents/>
              <w:jc w:val="both"/>
            </w:pPr>
            <w:r>
              <w:t>S.B. 1133 requires the attorney general to establish the following with respect to the</w:t>
            </w:r>
            <w:r w:rsidR="005B2023">
              <w:t xml:space="preserve"> compensation</w:t>
            </w:r>
            <w:r>
              <w:t xml:space="preserve"> program:</w:t>
            </w:r>
          </w:p>
          <w:p w14:paraId="212C62AD" w14:textId="410F1B7C" w:rsidR="00D360DF" w:rsidRDefault="00D24BBA" w:rsidP="00F526F7">
            <w:pPr>
              <w:pStyle w:val="Header"/>
              <w:numPr>
                <w:ilvl w:val="0"/>
                <w:numId w:val="1"/>
              </w:numPr>
              <w:mirrorIndents/>
              <w:jc w:val="both"/>
            </w:pPr>
            <w:r>
              <w:t>eligibility criteria for compensation, including requirements for providing proof of eligibility for compensation;</w:t>
            </w:r>
          </w:p>
          <w:p w14:paraId="2683C0BE" w14:textId="3C87B593" w:rsidR="00D360DF" w:rsidRDefault="00D24BBA" w:rsidP="00F526F7">
            <w:pPr>
              <w:pStyle w:val="Header"/>
              <w:numPr>
                <w:ilvl w:val="0"/>
                <w:numId w:val="1"/>
              </w:numPr>
              <w:mirrorIndents/>
              <w:jc w:val="both"/>
            </w:pPr>
            <w:r>
              <w:t>application procedures;</w:t>
            </w:r>
          </w:p>
          <w:p w14:paraId="5B01F750" w14:textId="508BD6CF" w:rsidR="00D360DF" w:rsidRDefault="00D24BBA" w:rsidP="00F526F7">
            <w:pPr>
              <w:pStyle w:val="Header"/>
              <w:numPr>
                <w:ilvl w:val="0"/>
                <w:numId w:val="1"/>
              </w:numPr>
              <w:mirrorIndents/>
              <w:jc w:val="both"/>
            </w:pPr>
            <w:r>
              <w:t>criteria for evaluating applications and awarding compensation;</w:t>
            </w:r>
          </w:p>
          <w:p w14:paraId="560423E3" w14:textId="47B60050" w:rsidR="00D360DF" w:rsidRDefault="00D24BBA" w:rsidP="00F526F7">
            <w:pPr>
              <w:pStyle w:val="Header"/>
              <w:numPr>
                <w:ilvl w:val="0"/>
                <w:numId w:val="1"/>
              </w:numPr>
              <w:mirrorIndents/>
              <w:jc w:val="both"/>
            </w:pPr>
            <w:r>
              <w:t>guidelines related to compensation amounts, provided that the maximum amount awarded per incident causing damage may not exceed $75,000; and</w:t>
            </w:r>
          </w:p>
          <w:p w14:paraId="13A9274B" w14:textId="41E26C49" w:rsidR="00D360DF" w:rsidRDefault="00D24BBA" w:rsidP="00F526F7">
            <w:pPr>
              <w:pStyle w:val="Header"/>
              <w:numPr>
                <w:ilvl w:val="0"/>
                <w:numId w:val="1"/>
              </w:numPr>
              <w:mirrorIndents/>
              <w:jc w:val="both"/>
            </w:pPr>
            <w:r>
              <w:t>procedures for monitoring the use of awarded compensation and ensuring compliance with any conditions of the award.</w:t>
            </w:r>
          </w:p>
          <w:p w14:paraId="2660F7F9" w14:textId="2C490755" w:rsidR="00D360DF" w:rsidRDefault="00D24BBA" w:rsidP="00F526F7">
            <w:pPr>
              <w:pStyle w:val="Header"/>
              <w:mirrorIndents/>
              <w:jc w:val="both"/>
            </w:pPr>
            <w:r w:rsidRPr="00D360DF">
              <w:t xml:space="preserve">The </w:t>
            </w:r>
            <w:r>
              <w:t xml:space="preserve">bill prohibits the </w:t>
            </w:r>
            <w:r w:rsidRPr="00D360DF">
              <w:t xml:space="preserve">attorney general </w:t>
            </w:r>
            <w:r>
              <w:t>from</w:t>
            </w:r>
            <w:r w:rsidRPr="00D360DF">
              <w:t xml:space="preserve"> award</w:t>
            </w:r>
            <w:r>
              <w:t>ing</w:t>
            </w:r>
            <w:r w:rsidRPr="00D360DF">
              <w:t xml:space="preserve"> compensation for real property damage caused by a trespasser </w:t>
            </w:r>
            <w:r w:rsidR="00BB73C4">
              <w:t>that</w:t>
            </w:r>
            <w:r w:rsidRPr="00D360DF">
              <w:t xml:space="preserve"> is</w:t>
            </w:r>
            <w:r w:rsidR="00BB73C4">
              <w:t xml:space="preserve"> not</w:t>
            </w:r>
            <w:r w:rsidRPr="00D360DF">
              <w:t xml:space="preserve"> documented in a written report by a law enforcement agency as having occurred in connection with a border crime</w:t>
            </w:r>
            <w:r w:rsidR="00BB73C4">
              <w:t xml:space="preserve"> and also prohibits the attorney general from awarding compensation to an applicant if the attorney general determines that the applicant is eligible for reimbursement from another source, including under an insurance contract or a state, local, or federal program, and failed to seek reimbursement from that other source</w:t>
            </w:r>
            <w:r w:rsidRPr="00D360DF">
              <w:t>.</w:t>
            </w:r>
            <w:r>
              <w:t xml:space="preserve"> </w:t>
            </w:r>
            <w:r w:rsidRPr="00D360DF">
              <w:t xml:space="preserve">In awarding compensation for real property damage caused by a trespasser, the attorney general may not consider the outcome of any criminal prosecution </w:t>
            </w:r>
            <w:r w:rsidRPr="00654ACB">
              <w:t xml:space="preserve">arising out of the offense </w:t>
            </w:r>
            <w:r w:rsidR="002B0D30">
              <w:t xml:space="preserve">under </w:t>
            </w:r>
            <w:r w:rsidRPr="00654ACB">
              <w:t>Penal Code</w:t>
            </w:r>
            <w:r w:rsidR="00654ACB" w:rsidRPr="00654ACB">
              <w:t xml:space="preserve"> provisions relating to arson, criminal mischief, and other property damage or destruction</w:t>
            </w:r>
            <w:r w:rsidRPr="00654ACB">
              <w:t xml:space="preserve"> as a result of which the applicant suffered property damage or the applicable offense</w:t>
            </w:r>
            <w:r w:rsidR="00654ACB" w:rsidRPr="00654ACB">
              <w:t xml:space="preserve"> </w:t>
            </w:r>
            <w:r w:rsidR="00654ACB">
              <w:t>that qualifies</w:t>
            </w:r>
            <w:r w:rsidR="00654ACB" w:rsidRPr="00654ACB">
              <w:t xml:space="preserve"> </w:t>
            </w:r>
            <w:r w:rsidR="00654ACB">
              <w:t xml:space="preserve">as </w:t>
            </w:r>
            <w:r w:rsidR="00654ACB" w:rsidRPr="00654ACB">
              <w:t>a border crime</w:t>
            </w:r>
            <w:r w:rsidRPr="00654ACB">
              <w:t>.</w:t>
            </w:r>
          </w:p>
          <w:p w14:paraId="33392FDD" w14:textId="33EE0E6C" w:rsidR="00D360DF" w:rsidRDefault="00D360DF" w:rsidP="00F526F7">
            <w:pPr>
              <w:pStyle w:val="Header"/>
              <w:mirrorIndents/>
              <w:jc w:val="both"/>
            </w:pPr>
          </w:p>
          <w:p w14:paraId="4EAC169B" w14:textId="576CAA54" w:rsidR="00D360DF" w:rsidRDefault="00D24BBA" w:rsidP="00F526F7">
            <w:pPr>
              <w:pStyle w:val="Header"/>
              <w:mirrorIndents/>
              <w:jc w:val="both"/>
            </w:pPr>
            <w:r>
              <w:t>S.B. 1133 requires the attorney general to determine whether a hearing on an application for compensation is necessary.</w:t>
            </w:r>
            <w:r w:rsidR="00D17F7E">
              <w:t xml:space="preserve"> </w:t>
            </w:r>
            <w:r>
              <w:t xml:space="preserve">On determining that a hearing is not necessary, the attorney general may approve the application. On determining that a hearing is necessary or on request for a hearing by the applicant, the attorney general </w:t>
            </w:r>
            <w:r w:rsidR="00A73554">
              <w:t>must</w:t>
            </w:r>
            <w:r>
              <w:t xml:space="preserve"> consider the application at a hearing at a time and place of the attorney general's choosing. The </w:t>
            </w:r>
            <w:r w:rsidR="00D17F7E">
              <w:t xml:space="preserve">bill requires the </w:t>
            </w:r>
            <w:r>
              <w:t xml:space="preserve">attorney general </w:t>
            </w:r>
            <w:r w:rsidR="00D17F7E">
              <w:t>to</w:t>
            </w:r>
            <w:r>
              <w:t xml:space="preserve"> notify all interested persons not later than the 10th day before the date of the hearing</w:t>
            </w:r>
            <w:r w:rsidR="00D17F7E">
              <w:t xml:space="preserve"> and requires the attorney general, a</w:t>
            </w:r>
            <w:r>
              <w:t>t the hearing</w:t>
            </w:r>
            <w:r w:rsidR="00D17F7E">
              <w:t xml:space="preserve">, to </w:t>
            </w:r>
            <w:r>
              <w:t>review the application for compensation</w:t>
            </w:r>
            <w:r w:rsidR="00D17F7E">
              <w:t xml:space="preserve"> </w:t>
            </w:r>
            <w:r>
              <w:t>and</w:t>
            </w:r>
            <w:r w:rsidR="00D17F7E">
              <w:t xml:space="preserve"> </w:t>
            </w:r>
            <w:r>
              <w:t>receive other evidence that the attorney general finds necessary or desirable to evaluate the application properly.</w:t>
            </w:r>
            <w:r w:rsidR="00D17F7E">
              <w:t xml:space="preserve"> </w:t>
            </w:r>
            <w:r>
              <w:t xml:space="preserve">The </w:t>
            </w:r>
            <w:r w:rsidR="00D17F7E">
              <w:t xml:space="preserve">bill authorizes the </w:t>
            </w:r>
            <w:r>
              <w:t xml:space="preserve">attorney general </w:t>
            </w:r>
            <w:r w:rsidR="00D17F7E">
              <w:t>to</w:t>
            </w:r>
            <w:r>
              <w:t xml:space="preserve"> appoint hearing officers to conduct hearings or prehearing conferences</w:t>
            </w:r>
            <w:r w:rsidR="00D17F7E">
              <w:t xml:space="preserve"> and establishes that a</w:t>
            </w:r>
            <w:r>
              <w:t xml:space="preserve"> hearing or prehearing conference is open to the public unless the hearing officer or attorney general determines in a particular case that all or part of the hearing or conference should be held in private because a private hearing or conference is in the interest of the applicant.</w:t>
            </w:r>
            <w:r w:rsidR="00D17F7E">
              <w:t xml:space="preserve"> The bill makes provisions of the Administrative Procedure Act relating to contested cases and court enforcement in</w:t>
            </w:r>
            <w:r>
              <w:t>appl</w:t>
            </w:r>
            <w:r w:rsidR="00D17F7E">
              <w:t>icable</w:t>
            </w:r>
            <w:r>
              <w:t xml:space="preserve"> to the attorney general or the attorney general's orders and decisions</w:t>
            </w:r>
            <w:r w:rsidR="00D17F7E">
              <w:t xml:space="preserve"> under the bill</w:t>
            </w:r>
            <w:r>
              <w:t>.</w:t>
            </w:r>
          </w:p>
          <w:p w14:paraId="1EDE3EDB" w14:textId="4F1E1CDE" w:rsidR="00BF4FDF" w:rsidRDefault="00BF4FDF" w:rsidP="00F526F7">
            <w:pPr>
              <w:pStyle w:val="Header"/>
              <w:mirrorIndents/>
              <w:jc w:val="both"/>
            </w:pPr>
          </w:p>
          <w:p w14:paraId="0D6B38DC" w14:textId="2267E5DE" w:rsidR="00BF4FDF" w:rsidRDefault="00D24BBA" w:rsidP="00F526F7">
            <w:pPr>
              <w:pStyle w:val="Header"/>
              <w:mirrorIndents/>
              <w:jc w:val="both"/>
            </w:pPr>
            <w:r>
              <w:t xml:space="preserve">S.B. 1133 requires the attorney general, not later than the 100th day after the end of each state fiscal year, to submit to the governor and the legislature a report on the attorney general's activities under the compensation program during the preceding fiscal year that includes the following information, disaggregated by each offense </w:t>
            </w:r>
            <w:r w:rsidR="00654ACB">
              <w:t>that may qualify as</w:t>
            </w:r>
            <w:r>
              <w:t xml:space="preserve"> a border crime:</w:t>
            </w:r>
          </w:p>
          <w:p w14:paraId="3C70E828" w14:textId="6DE4DC87" w:rsidR="00BF4FDF" w:rsidRDefault="00D24BBA" w:rsidP="00F526F7">
            <w:pPr>
              <w:pStyle w:val="Header"/>
              <w:numPr>
                <w:ilvl w:val="0"/>
                <w:numId w:val="2"/>
              </w:numPr>
              <w:mirrorIndents/>
              <w:jc w:val="both"/>
            </w:pPr>
            <w:r>
              <w:t>the number of applications made;</w:t>
            </w:r>
          </w:p>
          <w:p w14:paraId="252B2B99" w14:textId="0DF1B769" w:rsidR="00BF4FDF" w:rsidRDefault="00D24BBA" w:rsidP="00F526F7">
            <w:pPr>
              <w:pStyle w:val="Header"/>
              <w:numPr>
                <w:ilvl w:val="0"/>
                <w:numId w:val="2"/>
              </w:numPr>
              <w:mirrorIndents/>
              <w:jc w:val="both"/>
            </w:pPr>
            <w:r>
              <w:t>the number of applicants receiving compensation; and</w:t>
            </w:r>
          </w:p>
          <w:p w14:paraId="1FC103E5" w14:textId="2D2E7B09" w:rsidR="00BF4FDF" w:rsidRDefault="00D24BBA" w:rsidP="00F526F7">
            <w:pPr>
              <w:pStyle w:val="Header"/>
              <w:numPr>
                <w:ilvl w:val="0"/>
                <w:numId w:val="2"/>
              </w:numPr>
              <w:mirrorIndents/>
              <w:jc w:val="both"/>
            </w:pPr>
            <w:r>
              <w:t>the amount of compensation awarded.</w:t>
            </w:r>
          </w:p>
          <w:p w14:paraId="4ABF1AD8" w14:textId="77777777" w:rsidR="00BF4FDF" w:rsidRDefault="00BF4FDF" w:rsidP="00F526F7">
            <w:pPr>
              <w:pStyle w:val="Header"/>
              <w:mirrorIndents/>
              <w:jc w:val="both"/>
            </w:pPr>
          </w:p>
          <w:p w14:paraId="51464B29" w14:textId="68CA5C8D" w:rsidR="00BF4FDF" w:rsidRPr="009C36CD" w:rsidRDefault="00D24BBA" w:rsidP="00F526F7">
            <w:pPr>
              <w:pStyle w:val="Header"/>
              <w:mirrorIndents/>
              <w:jc w:val="both"/>
            </w:pPr>
            <w:r>
              <w:t xml:space="preserve">S.B. 1133 requires the attorney general to adopt rules to administer the bill's provisions and makes the general and rulemaking provisions of the Administrative Procedure Act, other than those about indexing a rule, order, or decision, applicable to the attorney general. The bill authorizes the attorney general to delegate to a person in the attorney general's office a power or duty given to the attorney general under the bill. The bill's </w:t>
            </w:r>
            <w:r w:rsidR="005B2023">
              <w:t xml:space="preserve">provisions </w:t>
            </w:r>
            <w:r>
              <w:t>expire on the second anniversary of the date that all money appropriated for the compensation program has been expended.</w:t>
            </w:r>
          </w:p>
          <w:p w14:paraId="6825E579" w14:textId="77777777" w:rsidR="008423E4" w:rsidRPr="00835628" w:rsidRDefault="008423E4" w:rsidP="00F526F7">
            <w:pPr>
              <w:mirrorIndents/>
              <w:rPr>
                <w:b/>
              </w:rPr>
            </w:pPr>
          </w:p>
        </w:tc>
      </w:tr>
      <w:tr w:rsidR="00112046" w14:paraId="0CB6251E" w14:textId="77777777" w:rsidTr="00345119">
        <w:tc>
          <w:tcPr>
            <w:tcW w:w="9576" w:type="dxa"/>
          </w:tcPr>
          <w:p w14:paraId="2F377DF5" w14:textId="77777777" w:rsidR="008423E4" w:rsidRPr="00A8133F" w:rsidRDefault="00D24BBA" w:rsidP="00F526F7">
            <w:pPr>
              <w:mirrorIndents/>
              <w:rPr>
                <w:b/>
              </w:rPr>
            </w:pPr>
            <w:r w:rsidRPr="009C1E9A">
              <w:rPr>
                <w:b/>
                <w:u w:val="single"/>
              </w:rPr>
              <w:t>EFFECTIVE DATE</w:t>
            </w:r>
            <w:r>
              <w:rPr>
                <w:b/>
              </w:rPr>
              <w:t xml:space="preserve"> </w:t>
            </w:r>
          </w:p>
          <w:p w14:paraId="7EE7DF64" w14:textId="77777777" w:rsidR="008423E4" w:rsidRDefault="008423E4" w:rsidP="00F526F7">
            <w:pPr>
              <w:mirrorIndents/>
            </w:pPr>
          </w:p>
          <w:p w14:paraId="2071F2CB" w14:textId="7CDAA1B9" w:rsidR="008423E4" w:rsidRPr="003624F2" w:rsidRDefault="00D24BBA" w:rsidP="00F526F7">
            <w:pPr>
              <w:pStyle w:val="Header"/>
              <w:tabs>
                <w:tab w:val="clear" w:pos="4320"/>
                <w:tab w:val="clear" w:pos="8640"/>
              </w:tabs>
              <w:mirrorIndents/>
              <w:jc w:val="both"/>
            </w:pPr>
            <w:r>
              <w:t>September 1, 2023.</w:t>
            </w:r>
          </w:p>
          <w:p w14:paraId="4E7C2C23" w14:textId="77777777" w:rsidR="008423E4" w:rsidRPr="00233FDB" w:rsidRDefault="008423E4" w:rsidP="00F526F7">
            <w:pPr>
              <w:mirrorIndents/>
              <w:rPr>
                <w:b/>
              </w:rPr>
            </w:pPr>
          </w:p>
        </w:tc>
      </w:tr>
    </w:tbl>
    <w:p w14:paraId="42BAA0AD" w14:textId="77777777" w:rsidR="008423E4" w:rsidRPr="00BE0E75" w:rsidRDefault="008423E4" w:rsidP="00F526F7">
      <w:pPr>
        <w:mirrorIndents/>
        <w:jc w:val="both"/>
        <w:rPr>
          <w:rFonts w:ascii="Arial" w:hAnsi="Arial"/>
          <w:sz w:val="16"/>
          <w:szCs w:val="16"/>
        </w:rPr>
      </w:pPr>
    </w:p>
    <w:p w14:paraId="0CB2F035" w14:textId="77777777" w:rsidR="004108C3" w:rsidRPr="008423E4" w:rsidRDefault="004108C3" w:rsidP="00F526F7">
      <w:pPr>
        <w:mirrorIndents/>
      </w:pPr>
    </w:p>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0CF1" w14:textId="77777777" w:rsidR="008D61AD" w:rsidRDefault="00D24BBA">
      <w:r>
        <w:separator/>
      </w:r>
    </w:p>
  </w:endnote>
  <w:endnote w:type="continuationSeparator" w:id="0">
    <w:p w14:paraId="5C416764" w14:textId="77777777" w:rsidR="008D61AD" w:rsidRDefault="00D2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72EF"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112046" w14:paraId="268CE94C" w14:textId="77777777" w:rsidTr="009C1E9A">
      <w:trPr>
        <w:cantSplit/>
      </w:trPr>
      <w:tc>
        <w:tcPr>
          <w:tcW w:w="0" w:type="pct"/>
        </w:tcPr>
        <w:p w14:paraId="5E207267" w14:textId="77777777" w:rsidR="00137D90" w:rsidRDefault="00137D90" w:rsidP="009C1E9A">
          <w:pPr>
            <w:pStyle w:val="Footer"/>
            <w:tabs>
              <w:tab w:val="clear" w:pos="8640"/>
              <w:tab w:val="right" w:pos="9360"/>
            </w:tabs>
          </w:pPr>
        </w:p>
      </w:tc>
      <w:tc>
        <w:tcPr>
          <w:tcW w:w="2395" w:type="pct"/>
        </w:tcPr>
        <w:p w14:paraId="1DD1C4DE" w14:textId="77777777" w:rsidR="00137D90" w:rsidRDefault="00137D90" w:rsidP="009C1E9A">
          <w:pPr>
            <w:pStyle w:val="Footer"/>
            <w:tabs>
              <w:tab w:val="clear" w:pos="8640"/>
              <w:tab w:val="right" w:pos="9360"/>
            </w:tabs>
          </w:pPr>
        </w:p>
        <w:p w14:paraId="137A3E43" w14:textId="77777777" w:rsidR="001A4310" w:rsidRDefault="001A4310" w:rsidP="009C1E9A">
          <w:pPr>
            <w:pStyle w:val="Footer"/>
            <w:tabs>
              <w:tab w:val="clear" w:pos="8640"/>
              <w:tab w:val="right" w:pos="9360"/>
            </w:tabs>
          </w:pPr>
        </w:p>
        <w:p w14:paraId="53B33A00" w14:textId="77777777" w:rsidR="00137D90" w:rsidRDefault="00137D90" w:rsidP="009C1E9A">
          <w:pPr>
            <w:pStyle w:val="Footer"/>
            <w:tabs>
              <w:tab w:val="clear" w:pos="8640"/>
              <w:tab w:val="right" w:pos="9360"/>
            </w:tabs>
          </w:pPr>
        </w:p>
      </w:tc>
      <w:tc>
        <w:tcPr>
          <w:tcW w:w="2453" w:type="pct"/>
        </w:tcPr>
        <w:p w14:paraId="1DC4EB8B" w14:textId="77777777" w:rsidR="00137D90" w:rsidRDefault="00137D90" w:rsidP="009C1E9A">
          <w:pPr>
            <w:pStyle w:val="Footer"/>
            <w:tabs>
              <w:tab w:val="clear" w:pos="8640"/>
              <w:tab w:val="right" w:pos="9360"/>
            </w:tabs>
            <w:jc w:val="right"/>
          </w:pPr>
        </w:p>
      </w:tc>
    </w:tr>
    <w:tr w:rsidR="00112046" w14:paraId="4B65236C" w14:textId="77777777" w:rsidTr="009C1E9A">
      <w:trPr>
        <w:cantSplit/>
      </w:trPr>
      <w:tc>
        <w:tcPr>
          <w:tcW w:w="0" w:type="pct"/>
        </w:tcPr>
        <w:p w14:paraId="06DECC20" w14:textId="77777777" w:rsidR="00EC379B" w:rsidRDefault="00EC379B" w:rsidP="009C1E9A">
          <w:pPr>
            <w:pStyle w:val="Footer"/>
            <w:tabs>
              <w:tab w:val="clear" w:pos="8640"/>
              <w:tab w:val="right" w:pos="9360"/>
            </w:tabs>
          </w:pPr>
        </w:p>
      </w:tc>
      <w:tc>
        <w:tcPr>
          <w:tcW w:w="2395" w:type="pct"/>
        </w:tcPr>
        <w:p w14:paraId="2C498DFD" w14:textId="77777777" w:rsidR="00EC379B" w:rsidRPr="009C1E9A" w:rsidRDefault="00D24BBA" w:rsidP="009C1E9A">
          <w:pPr>
            <w:pStyle w:val="Footer"/>
            <w:tabs>
              <w:tab w:val="clear" w:pos="8640"/>
              <w:tab w:val="right" w:pos="9360"/>
            </w:tabs>
            <w:rPr>
              <w:rFonts w:ascii="Shruti" w:hAnsi="Shruti"/>
              <w:sz w:val="22"/>
            </w:rPr>
          </w:pPr>
          <w:r>
            <w:rPr>
              <w:rFonts w:ascii="Shruti" w:hAnsi="Shruti"/>
              <w:sz w:val="22"/>
            </w:rPr>
            <w:t>88R 25833-D</w:t>
          </w:r>
        </w:p>
      </w:tc>
      <w:tc>
        <w:tcPr>
          <w:tcW w:w="2453" w:type="pct"/>
        </w:tcPr>
        <w:p w14:paraId="1CD8FCC0" w14:textId="2FEE363D" w:rsidR="00EC379B" w:rsidRDefault="00D24BBA" w:rsidP="009C1E9A">
          <w:pPr>
            <w:pStyle w:val="Footer"/>
            <w:tabs>
              <w:tab w:val="clear" w:pos="8640"/>
              <w:tab w:val="right" w:pos="9360"/>
            </w:tabs>
            <w:jc w:val="right"/>
          </w:pPr>
          <w:fldSimple w:instr=" DOCPROPERTY  OTID  \* MERGEFORMAT ">
            <w:r w:rsidR="00F526F7">
              <w:t>23.116.685</w:t>
            </w:r>
          </w:fldSimple>
        </w:p>
      </w:tc>
    </w:tr>
    <w:tr w:rsidR="00112046" w14:paraId="1D922F5F" w14:textId="77777777" w:rsidTr="009C1E9A">
      <w:trPr>
        <w:cantSplit/>
      </w:trPr>
      <w:tc>
        <w:tcPr>
          <w:tcW w:w="0" w:type="pct"/>
        </w:tcPr>
        <w:p w14:paraId="020CBFA1" w14:textId="77777777" w:rsidR="00EC379B" w:rsidRDefault="00EC379B" w:rsidP="009C1E9A">
          <w:pPr>
            <w:pStyle w:val="Footer"/>
            <w:tabs>
              <w:tab w:val="clear" w:pos="4320"/>
              <w:tab w:val="clear" w:pos="8640"/>
              <w:tab w:val="left" w:pos="2865"/>
            </w:tabs>
          </w:pPr>
        </w:p>
      </w:tc>
      <w:tc>
        <w:tcPr>
          <w:tcW w:w="2395" w:type="pct"/>
        </w:tcPr>
        <w:p w14:paraId="3E202B5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32BE773" w14:textId="77777777" w:rsidR="00EC379B" w:rsidRDefault="00EC379B" w:rsidP="006D504F">
          <w:pPr>
            <w:pStyle w:val="Footer"/>
            <w:rPr>
              <w:rStyle w:val="PageNumber"/>
            </w:rPr>
          </w:pPr>
        </w:p>
        <w:p w14:paraId="765B09C1" w14:textId="77777777" w:rsidR="00EC379B" w:rsidRDefault="00EC379B" w:rsidP="009C1E9A">
          <w:pPr>
            <w:pStyle w:val="Footer"/>
            <w:tabs>
              <w:tab w:val="clear" w:pos="8640"/>
              <w:tab w:val="right" w:pos="9360"/>
            </w:tabs>
            <w:jc w:val="right"/>
          </w:pPr>
        </w:p>
      </w:tc>
    </w:tr>
    <w:tr w:rsidR="00112046" w14:paraId="2AD8BECD" w14:textId="77777777" w:rsidTr="009C1E9A">
      <w:trPr>
        <w:cantSplit/>
        <w:trHeight w:val="323"/>
      </w:trPr>
      <w:tc>
        <w:tcPr>
          <w:tcW w:w="0" w:type="pct"/>
          <w:gridSpan w:val="3"/>
        </w:tcPr>
        <w:p w14:paraId="0C30058A" w14:textId="77777777" w:rsidR="00EC379B" w:rsidRDefault="00D24BB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29513130" w14:textId="77777777" w:rsidR="00EC379B" w:rsidRDefault="00EC379B" w:rsidP="009C1E9A">
          <w:pPr>
            <w:pStyle w:val="Footer"/>
            <w:tabs>
              <w:tab w:val="clear" w:pos="8640"/>
              <w:tab w:val="right" w:pos="9360"/>
            </w:tabs>
            <w:jc w:val="center"/>
          </w:pPr>
        </w:p>
      </w:tc>
    </w:tr>
  </w:tbl>
  <w:p w14:paraId="581C996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768C"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F40F" w14:textId="77777777" w:rsidR="008D61AD" w:rsidRDefault="00D24BBA">
      <w:r>
        <w:separator/>
      </w:r>
    </w:p>
  </w:footnote>
  <w:footnote w:type="continuationSeparator" w:id="0">
    <w:p w14:paraId="19B7021A" w14:textId="77777777" w:rsidR="008D61AD" w:rsidRDefault="00D2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F82D"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820F"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680C"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492F"/>
    <w:multiLevelType w:val="hybridMultilevel"/>
    <w:tmpl w:val="C7384206"/>
    <w:lvl w:ilvl="0" w:tplc="3E9A0EBC">
      <w:start w:val="1"/>
      <w:numFmt w:val="bullet"/>
      <w:lvlText w:val=""/>
      <w:lvlJc w:val="left"/>
      <w:pPr>
        <w:tabs>
          <w:tab w:val="num" w:pos="720"/>
        </w:tabs>
        <w:ind w:left="720" w:hanging="360"/>
      </w:pPr>
      <w:rPr>
        <w:rFonts w:ascii="Symbol" w:hAnsi="Symbol" w:hint="default"/>
      </w:rPr>
    </w:lvl>
    <w:lvl w:ilvl="1" w:tplc="C4D81F64" w:tentative="1">
      <w:start w:val="1"/>
      <w:numFmt w:val="bullet"/>
      <w:lvlText w:val="o"/>
      <w:lvlJc w:val="left"/>
      <w:pPr>
        <w:ind w:left="1440" w:hanging="360"/>
      </w:pPr>
      <w:rPr>
        <w:rFonts w:ascii="Courier New" w:hAnsi="Courier New" w:cs="Courier New" w:hint="default"/>
      </w:rPr>
    </w:lvl>
    <w:lvl w:ilvl="2" w:tplc="9F48149C" w:tentative="1">
      <w:start w:val="1"/>
      <w:numFmt w:val="bullet"/>
      <w:lvlText w:val=""/>
      <w:lvlJc w:val="left"/>
      <w:pPr>
        <w:ind w:left="2160" w:hanging="360"/>
      </w:pPr>
      <w:rPr>
        <w:rFonts w:ascii="Wingdings" w:hAnsi="Wingdings" w:hint="default"/>
      </w:rPr>
    </w:lvl>
    <w:lvl w:ilvl="3" w:tplc="E46CBE2A" w:tentative="1">
      <w:start w:val="1"/>
      <w:numFmt w:val="bullet"/>
      <w:lvlText w:val=""/>
      <w:lvlJc w:val="left"/>
      <w:pPr>
        <w:ind w:left="2880" w:hanging="360"/>
      </w:pPr>
      <w:rPr>
        <w:rFonts w:ascii="Symbol" w:hAnsi="Symbol" w:hint="default"/>
      </w:rPr>
    </w:lvl>
    <w:lvl w:ilvl="4" w:tplc="E8D489E8" w:tentative="1">
      <w:start w:val="1"/>
      <w:numFmt w:val="bullet"/>
      <w:lvlText w:val="o"/>
      <w:lvlJc w:val="left"/>
      <w:pPr>
        <w:ind w:left="3600" w:hanging="360"/>
      </w:pPr>
      <w:rPr>
        <w:rFonts w:ascii="Courier New" w:hAnsi="Courier New" w:cs="Courier New" w:hint="default"/>
      </w:rPr>
    </w:lvl>
    <w:lvl w:ilvl="5" w:tplc="32AC4560" w:tentative="1">
      <w:start w:val="1"/>
      <w:numFmt w:val="bullet"/>
      <w:lvlText w:val=""/>
      <w:lvlJc w:val="left"/>
      <w:pPr>
        <w:ind w:left="4320" w:hanging="360"/>
      </w:pPr>
      <w:rPr>
        <w:rFonts w:ascii="Wingdings" w:hAnsi="Wingdings" w:hint="default"/>
      </w:rPr>
    </w:lvl>
    <w:lvl w:ilvl="6" w:tplc="EF948576" w:tentative="1">
      <w:start w:val="1"/>
      <w:numFmt w:val="bullet"/>
      <w:lvlText w:val=""/>
      <w:lvlJc w:val="left"/>
      <w:pPr>
        <w:ind w:left="5040" w:hanging="360"/>
      </w:pPr>
      <w:rPr>
        <w:rFonts w:ascii="Symbol" w:hAnsi="Symbol" w:hint="default"/>
      </w:rPr>
    </w:lvl>
    <w:lvl w:ilvl="7" w:tplc="9238E976" w:tentative="1">
      <w:start w:val="1"/>
      <w:numFmt w:val="bullet"/>
      <w:lvlText w:val="o"/>
      <w:lvlJc w:val="left"/>
      <w:pPr>
        <w:ind w:left="5760" w:hanging="360"/>
      </w:pPr>
      <w:rPr>
        <w:rFonts w:ascii="Courier New" w:hAnsi="Courier New" w:cs="Courier New" w:hint="default"/>
      </w:rPr>
    </w:lvl>
    <w:lvl w:ilvl="8" w:tplc="FD9E2812" w:tentative="1">
      <w:start w:val="1"/>
      <w:numFmt w:val="bullet"/>
      <w:lvlText w:val=""/>
      <w:lvlJc w:val="left"/>
      <w:pPr>
        <w:ind w:left="6480" w:hanging="360"/>
      </w:pPr>
      <w:rPr>
        <w:rFonts w:ascii="Wingdings" w:hAnsi="Wingdings" w:hint="default"/>
      </w:rPr>
    </w:lvl>
  </w:abstractNum>
  <w:abstractNum w:abstractNumId="1" w15:restartNumberingAfterBreak="0">
    <w:nsid w:val="2EF47483"/>
    <w:multiLevelType w:val="hybridMultilevel"/>
    <w:tmpl w:val="53B84432"/>
    <w:lvl w:ilvl="0" w:tplc="9580E5C2">
      <w:start w:val="1"/>
      <w:numFmt w:val="bullet"/>
      <w:lvlText w:val=""/>
      <w:lvlJc w:val="left"/>
      <w:pPr>
        <w:tabs>
          <w:tab w:val="num" w:pos="720"/>
        </w:tabs>
        <w:ind w:left="720" w:hanging="360"/>
      </w:pPr>
      <w:rPr>
        <w:rFonts w:ascii="Symbol" w:hAnsi="Symbol" w:hint="default"/>
      </w:rPr>
    </w:lvl>
    <w:lvl w:ilvl="1" w:tplc="EF3683C6" w:tentative="1">
      <w:start w:val="1"/>
      <w:numFmt w:val="bullet"/>
      <w:lvlText w:val="o"/>
      <w:lvlJc w:val="left"/>
      <w:pPr>
        <w:ind w:left="1440" w:hanging="360"/>
      </w:pPr>
      <w:rPr>
        <w:rFonts w:ascii="Courier New" w:hAnsi="Courier New" w:cs="Courier New" w:hint="default"/>
      </w:rPr>
    </w:lvl>
    <w:lvl w:ilvl="2" w:tplc="CB5E7410" w:tentative="1">
      <w:start w:val="1"/>
      <w:numFmt w:val="bullet"/>
      <w:lvlText w:val=""/>
      <w:lvlJc w:val="left"/>
      <w:pPr>
        <w:ind w:left="2160" w:hanging="360"/>
      </w:pPr>
      <w:rPr>
        <w:rFonts w:ascii="Wingdings" w:hAnsi="Wingdings" w:hint="default"/>
      </w:rPr>
    </w:lvl>
    <w:lvl w:ilvl="3" w:tplc="0BE48C14" w:tentative="1">
      <w:start w:val="1"/>
      <w:numFmt w:val="bullet"/>
      <w:lvlText w:val=""/>
      <w:lvlJc w:val="left"/>
      <w:pPr>
        <w:ind w:left="2880" w:hanging="360"/>
      </w:pPr>
      <w:rPr>
        <w:rFonts w:ascii="Symbol" w:hAnsi="Symbol" w:hint="default"/>
      </w:rPr>
    </w:lvl>
    <w:lvl w:ilvl="4" w:tplc="6316A348" w:tentative="1">
      <w:start w:val="1"/>
      <w:numFmt w:val="bullet"/>
      <w:lvlText w:val="o"/>
      <w:lvlJc w:val="left"/>
      <w:pPr>
        <w:ind w:left="3600" w:hanging="360"/>
      </w:pPr>
      <w:rPr>
        <w:rFonts w:ascii="Courier New" w:hAnsi="Courier New" w:cs="Courier New" w:hint="default"/>
      </w:rPr>
    </w:lvl>
    <w:lvl w:ilvl="5" w:tplc="975C36AE" w:tentative="1">
      <w:start w:val="1"/>
      <w:numFmt w:val="bullet"/>
      <w:lvlText w:val=""/>
      <w:lvlJc w:val="left"/>
      <w:pPr>
        <w:ind w:left="4320" w:hanging="360"/>
      </w:pPr>
      <w:rPr>
        <w:rFonts w:ascii="Wingdings" w:hAnsi="Wingdings" w:hint="default"/>
      </w:rPr>
    </w:lvl>
    <w:lvl w:ilvl="6" w:tplc="FFF60A4A" w:tentative="1">
      <w:start w:val="1"/>
      <w:numFmt w:val="bullet"/>
      <w:lvlText w:val=""/>
      <w:lvlJc w:val="left"/>
      <w:pPr>
        <w:ind w:left="5040" w:hanging="360"/>
      </w:pPr>
      <w:rPr>
        <w:rFonts w:ascii="Symbol" w:hAnsi="Symbol" w:hint="default"/>
      </w:rPr>
    </w:lvl>
    <w:lvl w:ilvl="7" w:tplc="FF3EA3A6" w:tentative="1">
      <w:start w:val="1"/>
      <w:numFmt w:val="bullet"/>
      <w:lvlText w:val="o"/>
      <w:lvlJc w:val="left"/>
      <w:pPr>
        <w:ind w:left="5760" w:hanging="360"/>
      </w:pPr>
      <w:rPr>
        <w:rFonts w:ascii="Courier New" w:hAnsi="Courier New" w:cs="Courier New" w:hint="default"/>
      </w:rPr>
    </w:lvl>
    <w:lvl w:ilvl="8" w:tplc="BB9CEF2E" w:tentative="1">
      <w:start w:val="1"/>
      <w:numFmt w:val="bullet"/>
      <w:lvlText w:val=""/>
      <w:lvlJc w:val="left"/>
      <w:pPr>
        <w:ind w:left="6480" w:hanging="360"/>
      </w:pPr>
      <w:rPr>
        <w:rFonts w:ascii="Wingdings" w:hAnsi="Wingdings" w:hint="default"/>
      </w:rPr>
    </w:lvl>
  </w:abstractNum>
  <w:abstractNum w:abstractNumId="2" w15:restartNumberingAfterBreak="0">
    <w:nsid w:val="4124559D"/>
    <w:multiLevelType w:val="hybridMultilevel"/>
    <w:tmpl w:val="4CE679F2"/>
    <w:lvl w:ilvl="0" w:tplc="A63611F0">
      <w:start w:val="1"/>
      <w:numFmt w:val="bullet"/>
      <w:lvlText w:val=""/>
      <w:lvlJc w:val="left"/>
      <w:pPr>
        <w:tabs>
          <w:tab w:val="num" w:pos="720"/>
        </w:tabs>
        <w:ind w:left="720" w:hanging="360"/>
      </w:pPr>
      <w:rPr>
        <w:rFonts w:ascii="Symbol" w:hAnsi="Symbol" w:hint="default"/>
      </w:rPr>
    </w:lvl>
    <w:lvl w:ilvl="1" w:tplc="864EC358" w:tentative="1">
      <w:start w:val="1"/>
      <w:numFmt w:val="bullet"/>
      <w:lvlText w:val="o"/>
      <w:lvlJc w:val="left"/>
      <w:pPr>
        <w:ind w:left="1440" w:hanging="360"/>
      </w:pPr>
      <w:rPr>
        <w:rFonts w:ascii="Courier New" w:hAnsi="Courier New" w:cs="Courier New" w:hint="default"/>
      </w:rPr>
    </w:lvl>
    <w:lvl w:ilvl="2" w:tplc="BD90DAB4" w:tentative="1">
      <w:start w:val="1"/>
      <w:numFmt w:val="bullet"/>
      <w:lvlText w:val=""/>
      <w:lvlJc w:val="left"/>
      <w:pPr>
        <w:ind w:left="2160" w:hanging="360"/>
      </w:pPr>
      <w:rPr>
        <w:rFonts w:ascii="Wingdings" w:hAnsi="Wingdings" w:hint="default"/>
      </w:rPr>
    </w:lvl>
    <w:lvl w:ilvl="3" w:tplc="ABDA3E20" w:tentative="1">
      <w:start w:val="1"/>
      <w:numFmt w:val="bullet"/>
      <w:lvlText w:val=""/>
      <w:lvlJc w:val="left"/>
      <w:pPr>
        <w:ind w:left="2880" w:hanging="360"/>
      </w:pPr>
      <w:rPr>
        <w:rFonts w:ascii="Symbol" w:hAnsi="Symbol" w:hint="default"/>
      </w:rPr>
    </w:lvl>
    <w:lvl w:ilvl="4" w:tplc="DA14C5FA" w:tentative="1">
      <w:start w:val="1"/>
      <w:numFmt w:val="bullet"/>
      <w:lvlText w:val="o"/>
      <w:lvlJc w:val="left"/>
      <w:pPr>
        <w:ind w:left="3600" w:hanging="360"/>
      </w:pPr>
      <w:rPr>
        <w:rFonts w:ascii="Courier New" w:hAnsi="Courier New" w:cs="Courier New" w:hint="default"/>
      </w:rPr>
    </w:lvl>
    <w:lvl w:ilvl="5" w:tplc="A8C642BA" w:tentative="1">
      <w:start w:val="1"/>
      <w:numFmt w:val="bullet"/>
      <w:lvlText w:val=""/>
      <w:lvlJc w:val="left"/>
      <w:pPr>
        <w:ind w:left="4320" w:hanging="360"/>
      </w:pPr>
      <w:rPr>
        <w:rFonts w:ascii="Wingdings" w:hAnsi="Wingdings" w:hint="default"/>
      </w:rPr>
    </w:lvl>
    <w:lvl w:ilvl="6" w:tplc="30A214F6" w:tentative="1">
      <w:start w:val="1"/>
      <w:numFmt w:val="bullet"/>
      <w:lvlText w:val=""/>
      <w:lvlJc w:val="left"/>
      <w:pPr>
        <w:ind w:left="5040" w:hanging="360"/>
      </w:pPr>
      <w:rPr>
        <w:rFonts w:ascii="Symbol" w:hAnsi="Symbol" w:hint="default"/>
      </w:rPr>
    </w:lvl>
    <w:lvl w:ilvl="7" w:tplc="9020A946" w:tentative="1">
      <w:start w:val="1"/>
      <w:numFmt w:val="bullet"/>
      <w:lvlText w:val="o"/>
      <w:lvlJc w:val="left"/>
      <w:pPr>
        <w:ind w:left="5760" w:hanging="360"/>
      </w:pPr>
      <w:rPr>
        <w:rFonts w:ascii="Courier New" w:hAnsi="Courier New" w:cs="Courier New" w:hint="default"/>
      </w:rPr>
    </w:lvl>
    <w:lvl w:ilvl="8" w:tplc="89B68932" w:tentative="1">
      <w:start w:val="1"/>
      <w:numFmt w:val="bullet"/>
      <w:lvlText w:val=""/>
      <w:lvlJc w:val="left"/>
      <w:pPr>
        <w:ind w:left="6480" w:hanging="360"/>
      </w:pPr>
      <w:rPr>
        <w:rFonts w:ascii="Wingdings" w:hAnsi="Wingdings" w:hint="default"/>
      </w:rPr>
    </w:lvl>
  </w:abstractNum>
  <w:abstractNum w:abstractNumId="3" w15:restartNumberingAfterBreak="0">
    <w:nsid w:val="581C027D"/>
    <w:multiLevelType w:val="hybridMultilevel"/>
    <w:tmpl w:val="C344A89C"/>
    <w:lvl w:ilvl="0" w:tplc="6052974E">
      <w:start w:val="1"/>
      <w:numFmt w:val="decimal"/>
      <w:lvlText w:val="(%1)"/>
      <w:lvlJc w:val="left"/>
      <w:pPr>
        <w:ind w:left="758" w:hanging="398"/>
      </w:pPr>
      <w:rPr>
        <w:rFonts w:hint="default"/>
      </w:rPr>
    </w:lvl>
    <w:lvl w:ilvl="1" w:tplc="23A6E3F0" w:tentative="1">
      <w:start w:val="1"/>
      <w:numFmt w:val="lowerLetter"/>
      <w:lvlText w:val="%2."/>
      <w:lvlJc w:val="left"/>
      <w:pPr>
        <w:ind w:left="1440" w:hanging="360"/>
      </w:pPr>
    </w:lvl>
    <w:lvl w:ilvl="2" w:tplc="FA1ED684" w:tentative="1">
      <w:start w:val="1"/>
      <w:numFmt w:val="lowerRoman"/>
      <w:lvlText w:val="%3."/>
      <w:lvlJc w:val="right"/>
      <w:pPr>
        <w:ind w:left="2160" w:hanging="180"/>
      </w:pPr>
    </w:lvl>
    <w:lvl w:ilvl="3" w:tplc="1F00C282" w:tentative="1">
      <w:start w:val="1"/>
      <w:numFmt w:val="decimal"/>
      <w:lvlText w:val="%4."/>
      <w:lvlJc w:val="left"/>
      <w:pPr>
        <w:ind w:left="2880" w:hanging="360"/>
      </w:pPr>
    </w:lvl>
    <w:lvl w:ilvl="4" w:tplc="9CF28DF4" w:tentative="1">
      <w:start w:val="1"/>
      <w:numFmt w:val="lowerLetter"/>
      <w:lvlText w:val="%5."/>
      <w:lvlJc w:val="left"/>
      <w:pPr>
        <w:ind w:left="3600" w:hanging="360"/>
      </w:pPr>
    </w:lvl>
    <w:lvl w:ilvl="5" w:tplc="72CC75F2" w:tentative="1">
      <w:start w:val="1"/>
      <w:numFmt w:val="lowerRoman"/>
      <w:lvlText w:val="%6."/>
      <w:lvlJc w:val="right"/>
      <w:pPr>
        <w:ind w:left="4320" w:hanging="180"/>
      </w:pPr>
    </w:lvl>
    <w:lvl w:ilvl="6" w:tplc="1FEC08F2" w:tentative="1">
      <w:start w:val="1"/>
      <w:numFmt w:val="decimal"/>
      <w:lvlText w:val="%7."/>
      <w:lvlJc w:val="left"/>
      <w:pPr>
        <w:ind w:left="5040" w:hanging="360"/>
      </w:pPr>
    </w:lvl>
    <w:lvl w:ilvl="7" w:tplc="9C38817A" w:tentative="1">
      <w:start w:val="1"/>
      <w:numFmt w:val="lowerLetter"/>
      <w:lvlText w:val="%8."/>
      <w:lvlJc w:val="left"/>
      <w:pPr>
        <w:ind w:left="5760" w:hanging="360"/>
      </w:pPr>
    </w:lvl>
    <w:lvl w:ilvl="8" w:tplc="BAE806B0" w:tentative="1">
      <w:start w:val="1"/>
      <w:numFmt w:val="lowerRoman"/>
      <w:lvlText w:val="%9."/>
      <w:lvlJc w:val="right"/>
      <w:pPr>
        <w:ind w:left="6480" w:hanging="180"/>
      </w:pPr>
    </w:lvl>
  </w:abstractNum>
  <w:abstractNum w:abstractNumId="4" w15:restartNumberingAfterBreak="0">
    <w:nsid w:val="651650A9"/>
    <w:multiLevelType w:val="hybridMultilevel"/>
    <w:tmpl w:val="2FAA077C"/>
    <w:lvl w:ilvl="0" w:tplc="91CCAF30">
      <w:start w:val="1"/>
      <w:numFmt w:val="bullet"/>
      <w:lvlText w:val=""/>
      <w:lvlJc w:val="left"/>
      <w:pPr>
        <w:tabs>
          <w:tab w:val="num" w:pos="720"/>
        </w:tabs>
        <w:ind w:left="720" w:hanging="360"/>
      </w:pPr>
      <w:rPr>
        <w:rFonts w:ascii="Symbol" w:hAnsi="Symbol" w:hint="default"/>
      </w:rPr>
    </w:lvl>
    <w:lvl w:ilvl="1" w:tplc="7772EB86" w:tentative="1">
      <w:start w:val="1"/>
      <w:numFmt w:val="bullet"/>
      <w:lvlText w:val="o"/>
      <w:lvlJc w:val="left"/>
      <w:pPr>
        <w:ind w:left="1440" w:hanging="360"/>
      </w:pPr>
      <w:rPr>
        <w:rFonts w:ascii="Courier New" w:hAnsi="Courier New" w:cs="Courier New" w:hint="default"/>
      </w:rPr>
    </w:lvl>
    <w:lvl w:ilvl="2" w:tplc="1374B642" w:tentative="1">
      <w:start w:val="1"/>
      <w:numFmt w:val="bullet"/>
      <w:lvlText w:val=""/>
      <w:lvlJc w:val="left"/>
      <w:pPr>
        <w:ind w:left="2160" w:hanging="360"/>
      </w:pPr>
      <w:rPr>
        <w:rFonts w:ascii="Wingdings" w:hAnsi="Wingdings" w:hint="default"/>
      </w:rPr>
    </w:lvl>
    <w:lvl w:ilvl="3" w:tplc="AFF83C98" w:tentative="1">
      <w:start w:val="1"/>
      <w:numFmt w:val="bullet"/>
      <w:lvlText w:val=""/>
      <w:lvlJc w:val="left"/>
      <w:pPr>
        <w:ind w:left="2880" w:hanging="360"/>
      </w:pPr>
      <w:rPr>
        <w:rFonts w:ascii="Symbol" w:hAnsi="Symbol" w:hint="default"/>
      </w:rPr>
    </w:lvl>
    <w:lvl w:ilvl="4" w:tplc="132A8CDA" w:tentative="1">
      <w:start w:val="1"/>
      <w:numFmt w:val="bullet"/>
      <w:lvlText w:val="o"/>
      <w:lvlJc w:val="left"/>
      <w:pPr>
        <w:ind w:left="3600" w:hanging="360"/>
      </w:pPr>
      <w:rPr>
        <w:rFonts w:ascii="Courier New" w:hAnsi="Courier New" w:cs="Courier New" w:hint="default"/>
      </w:rPr>
    </w:lvl>
    <w:lvl w:ilvl="5" w:tplc="E8302470" w:tentative="1">
      <w:start w:val="1"/>
      <w:numFmt w:val="bullet"/>
      <w:lvlText w:val=""/>
      <w:lvlJc w:val="left"/>
      <w:pPr>
        <w:ind w:left="4320" w:hanging="360"/>
      </w:pPr>
      <w:rPr>
        <w:rFonts w:ascii="Wingdings" w:hAnsi="Wingdings" w:hint="default"/>
      </w:rPr>
    </w:lvl>
    <w:lvl w:ilvl="6" w:tplc="575CD442" w:tentative="1">
      <w:start w:val="1"/>
      <w:numFmt w:val="bullet"/>
      <w:lvlText w:val=""/>
      <w:lvlJc w:val="left"/>
      <w:pPr>
        <w:ind w:left="5040" w:hanging="360"/>
      </w:pPr>
      <w:rPr>
        <w:rFonts w:ascii="Symbol" w:hAnsi="Symbol" w:hint="default"/>
      </w:rPr>
    </w:lvl>
    <w:lvl w:ilvl="7" w:tplc="91641BEA" w:tentative="1">
      <w:start w:val="1"/>
      <w:numFmt w:val="bullet"/>
      <w:lvlText w:val="o"/>
      <w:lvlJc w:val="left"/>
      <w:pPr>
        <w:ind w:left="5760" w:hanging="360"/>
      </w:pPr>
      <w:rPr>
        <w:rFonts w:ascii="Courier New" w:hAnsi="Courier New" w:cs="Courier New" w:hint="default"/>
      </w:rPr>
    </w:lvl>
    <w:lvl w:ilvl="8" w:tplc="412C9A24" w:tentative="1">
      <w:start w:val="1"/>
      <w:numFmt w:val="bullet"/>
      <w:lvlText w:val=""/>
      <w:lvlJc w:val="left"/>
      <w:pPr>
        <w:ind w:left="6480" w:hanging="360"/>
      </w:pPr>
      <w:rPr>
        <w:rFonts w:ascii="Wingdings" w:hAnsi="Wingdings" w:hint="default"/>
      </w:rPr>
    </w:lvl>
  </w:abstractNum>
  <w:num w:numId="1" w16cid:durableId="343895530">
    <w:abstractNumId w:val="4"/>
  </w:num>
  <w:num w:numId="2" w16cid:durableId="1544443208">
    <w:abstractNumId w:val="1"/>
  </w:num>
  <w:num w:numId="3" w16cid:durableId="1272588374">
    <w:abstractNumId w:val="3"/>
  </w:num>
  <w:num w:numId="4" w16cid:durableId="620890351">
    <w:abstractNumId w:val="0"/>
  </w:num>
  <w:num w:numId="5" w16cid:durableId="502353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0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0DCD"/>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046"/>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0E4"/>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0D30"/>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17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2023"/>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4ACB"/>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8D2"/>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28C3"/>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C73DC"/>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4BF2"/>
    <w:rsid w:val="008D58F9"/>
    <w:rsid w:val="008D61AD"/>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73554"/>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4004"/>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B73C4"/>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4FDF"/>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4B7D"/>
    <w:rsid w:val="00C57933"/>
    <w:rsid w:val="00C60206"/>
    <w:rsid w:val="00C615D4"/>
    <w:rsid w:val="00C61B5D"/>
    <w:rsid w:val="00C61C0E"/>
    <w:rsid w:val="00C61C64"/>
    <w:rsid w:val="00C61CDA"/>
    <w:rsid w:val="00C66982"/>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0D7"/>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7F7E"/>
    <w:rsid w:val="00D22160"/>
    <w:rsid w:val="00D22172"/>
    <w:rsid w:val="00D2301B"/>
    <w:rsid w:val="00D239EE"/>
    <w:rsid w:val="00D24BBA"/>
    <w:rsid w:val="00D30534"/>
    <w:rsid w:val="00D35728"/>
    <w:rsid w:val="00D359A7"/>
    <w:rsid w:val="00D360DF"/>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4DD6"/>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26F7"/>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C41"/>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C6E672-FA2F-4566-8059-14D38817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B2023"/>
    <w:rPr>
      <w:sz w:val="16"/>
      <w:szCs w:val="16"/>
    </w:rPr>
  </w:style>
  <w:style w:type="paragraph" w:styleId="CommentText">
    <w:name w:val="annotation text"/>
    <w:basedOn w:val="Normal"/>
    <w:link w:val="CommentTextChar"/>
    <w:semiHidden/>
    <w:unhideWhenUsed/>
    <w:rsid w:val="005B2023"/>
    <w:rPr>
      <w:sz w:val="20"/>
      <w:szCs w:val="20"/>
    </w:rPr>
  </w:style>
  <w:style w:type="character" w:customStyle="1" w:styleId="CommentTextChar">
    <w:name w:val="Comment Text Char"/>
    <w:basedOn w:val="DefaultParagraphFont"/>
    <w:link w:val="CommentText"/>
    <w:semiHidden/>
    <w:rsid w:val="005B2023"/>
  </w:style>
  <w:style w:type="paragraph" w:styleId="CommentSubject">
    <w:name w:val="annotation subject"/>
    <w:basedOn w:val="CommentText"/>
    <w:next w:val="CommentText"/>
    <w:link w:val="CommentSubjectChar"/>
    <w:semiHidden/>
    <w:unhideWhenUsed/>
    <w:rsid w:val="005B2023"/>
    <w:rPr>
      <w:b/>
      <w:bCs/>
    </w:rPr>
  </w:style>
  <w:style w:type="character" w:customStyle="1" w:styleId="CommentSubjectChar">
    <w:name w:val="Comment Subject Char"/>
    <w:basedOn w:val="CommentTextChar"/>
    <w:link w:val="CommentSubject"/>
    <w:semiHidden/>
    <w:rsid w:val="005B2023"/>
    <w:rPr>
      <w:b/>
      <w:bCs/>
    </w:rPr>
  </w:style>
  <w:style w:type="paragraph" w:styleId="Revision">
    <w:name w:val="Revision"/>
    <w:hidden/>
    <w:uiPriority w:val="99"/>
    <w:semiHidden/>
    <w:rsid w:val="000E0D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979</Words>
  <Characters>5411</Characters>
  <Application>Microsoft Office Word</Application>
  <DocSecurity>4</DocSecurity>
  <Lines>110</Lines>
  <Paragraphs>34</Paragraphs>
  <ScaleCrop>false</ScaleCrop>
  <HeadingPairs>
    <vt:vector size="2" baseType="variant">
      <vt:variant>
        <vt:lpstr>Title</vt:lpstr>
      </vt:variant>
      <vt:variant>
        <vt:i4>1</vt:i4>
      </vt:variant>
    </vt:vector>
  </HeadingPairs>
  <TitlesOfParts>
    <vt:vector size="1" baseType="lpstr">
      <vt:lpstr>BA - SB01133 (Committee Report (Unamended))</vt:lpstr>
    </vt:vector>
  </TitlesOfParts>
  <Company>State of Texas</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25833</dc:subject>
  <dc:creator>State of Texas</dc:creator>
  <dc:description>SB 1133 by Blanco-(H)State Affairs</dc:description>
  <cp:lastModifiedBy>Damian Duarte</cp:lastModifiedBy>
  <cp:revision>2</cp:revision>
  <cp:lastPrinted>2003-11-26T17:21:00Z</cp:lastPrinted>
  <dcterms:created xsi:type="dcterms:W3CDTF">2023-05-06T18:37:00Z</dcterms:created>
  <dcterms:modified xsi:type="dcterms:W3CDTF">2023-05-06T18:37:00Z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23.116.685</vt:lpwstr>
  </property>
</Properties>
</file>