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95E25" w14:paraId="5BB3C5CA" w14:textId="77777777" w:rsidTr="00345119">
        <w:tc>
          <w:tcPr>
            <w:tcW w:w="9576" w:type="dxa"/>
            <w:noWrap/>
          </w:tcPr>
          <w:p w14:paraId="4A0FD038" w14:textId="77777777" w:rsidR="008423E4" w:rsidRPr="0022177D" w:rsidRDefault="00427905" w:rsidP="001770B8">
            <w:pPr>
              <w:pStyle w:val="Heading1"/>
            </w:pPr>
            <w:r w:rsidRPr="00631897">
              <w:t>BILL ANALYSIS</w:t>
            </w:r>
          </w:p>
        </w:tc>
      </w:tr>
    </w:tbl>
    <w:p w14:paraId="1AB7C13C" w14:textId="77777777" w:rsidR="008423E4" w:rsidRPr="0022177D" w:rsidRDefault="008423E4" w:rsidP="001770B8">
      <w:pPr>
        <w:jc w:val="center"/>
      </w:pPr>
    </w:p>
    <w:p w14:paraId="167CCF06" w14:textId="77777777" w:rsidR="008423E4" w:rsidRPr="00B31F0E" w:rsidRDefault="008423E4" w:rsidP="001770B8"/>
    <w:p w14:paraId="4D1EE3CF" w14:textId="77777777" w:rsidR="008423E4" w:rsidRPr="00742794" w:rsidRDefault="008423E4" w:rsidP="001770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5E25" w14:paraId="347114FF" w14:textId="77777777" w:rsidTr="00345119">
        <w:tc>
          <w:tcPr>
            <w:tcW w:w="9576" w:type="dxa"/>
          </w:tcPr>
          <w:p w14:paraId="351652BE" w14:textId="2E7D442D" w:rsidR="008423E4" w:rsidRPr="00861995" w:rsidRDefault="00427905" w:rsidP="001770B8">
            <w:pPr>
              <w:jc w:val="right"/>
            </w:pPr>
            <w:r>
              <w:t>S.B. 1140</w:t>
            </w:r>
          </w:p>
        </w:tc>
      </w:tr>
      <w:tr w:rsidR="00995E25" w14:paraId="23F4F0E0" w14:textId="77777777" w:rsidTr="00345119">
        <w:tc>
          <w:tcPr>
            <w:tcW w:w="9576" w:type="dxa"/>
          </w:tcPr>
          <w:p w14:paraId="713F4989" w14:textId="4D448DE8" w:rsidR="008423E4" w:rsidRPr="00861995" w:rsidRDefault="00427905" w:rsidP="001770B8">
            <w:pPr>
              <w:jc w:val="right"/>
            </w:pPr>
            <w:r>
              <w:t xml:space="preserve">By: </w:t>
            </w:r>
            <w:r w:rsidR="00723FF7">
              <w:t>Schwertner</w:t>
            </w:r>
          </w:p>
        </w:tc>
      </w:tr>
      <w:tr w:rsidR="00995E25" w14:paraId="7D717460" w14:textId="77777777" w:rsidTr="00345119">
        <w:tc>
          <w:tcPr>
            <w:tcW w:w="9576" w:type="dxa"/>
          </w:tcPr>
          <w:p w14:paraId="06C98EA1" w14:textId="0810C725" w:rsidR="008423E4" w:rsidRPr="00861995" w:rsidRDefault="00427905" w:rsidP="001770B8">
            <w:pPr>
              <w:jc w:val="right"/>
            </w:pPr>
            <w:r>
              <w:t>Insurance</w:t>
            </w:r>
          </w:p>
        </w:tc>
      </w:tr>
      <w:tr w:rsidR="00995E25" w14:paraId="51A099AF" w14:textId="77777777" w:rsidTr="00345119">
        <w:tc>
          <w:tcPr>
            <w:tcW w:w="9576" w:type="dxa"/>
          </w:tcPr>
          <w:p w14:paraId="048A886E" w14:textId="40174273" w:rsidR="008423E4" w:rsidRDefault="00427905" w:rsidP="001770B8">
            <w:pPr>
              <w:jc w:val="right"/>
            </w:pPr>
            <w:r>
              <w:t>Committee Report (Unamended)</w:t>
            </w:r>
          </w:p>
        </w:tc>
      </w:tr>
    </w:tbl>
    <w:p w14:paraId="1934B17B" w14:textId="77777777" w:rsidR="008423E4" w:rsidRDefault="008423E4" w:rsidP="001770B8">
      <w:pPr>
        <w:tabs>
          <w:tab w:val="right" w:pos="9360"/>
        </w:tabs>
      </w:pPr>
    </w:p>
    <w:p w14:paraId="15898C89" w14:textId="77777777" w:rsidR="008423E4" w:rsidRDefault="008423E4" w:rsidP="001770B8"/>
    <w:p w14:paraId="58E116DF" w14:textId="77777777" w:rsidR="008423E4" w:rsidRDefault="008423E4" w:rsidP="001770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95E25" w14:paraId="54A36FF2" w14:textId="77777777" w:rsidTr="00345119">
        <w:tc>
          <w:tcPr>
            <w:tcW w:w="9576" w:type="dxa"/>
          </w:tcPr>
          <w:p w14:paraId="4E373E34" w14:textId="77777777" w:rsidR="008423E4" w:rsidRPr="00A8133F" w:rsidRDefault="00427905" w:rsidP="001770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5A3EE3" w14:textId="77777777" w:rsidR="008423E4" w:rsidRDefault="008423E4" w:rsidP="001770B8"/>
          <w:p w14:paraId="55EC3FC1" w14:textId="4D714AA5" w:rsidR="00D3251E" w:rsidRDefault="00427905" w:rsidP="001770B8">
            <w:pPr>
              <w:pStyle w:val="Header"/>
              <w:jc w:val="both"/>
            </w:pPr>
            <w:r>
              <w:t xml:space="preserve">The </w:t>
            </w:r>
            <w:r w:rsidR="00F00A70">
              <w:t>o</w:t>
            </w:r>
            <w:r>
              <w:t xml:space="preserve">ffice of </w:t>
            </w:r>
            <w:r w:rsidR="00F00A70">
              <w:t>p</w:t>
            </w:r>
            <w:r>
              <w:t xml:space="preserve">ublic </w:t>
            </w:r>
            <w:r w:rsidR="00F00A70">
              <w:t>i</w:t>
            </w:r>
            <w:r>
              <w:t xml:space="preserve">nsurance </w:t>
            </w:r>
            <w:r w:rsidR="00F00A70">
              <w:t>c</w:t>
            </w:r>
            <w:r>
              <w:t>oun</w:t>
            </w:r>
            <w:r w:rsidR="00F00A70">
              <w:t>sel</w:t>
            </w:r>
            <w:r>
              <w:t xml:space="preserve"> (OPIC) is an independent state agency tasked with representing the interests of Texas consumers in insurance matters. </w:t>
            </w:r>
            <w:r w:rsidR="00F21E5E">
              <w:t>OPIC</w:t>
            </w:r>
            <w:r>
              <w:t xml:space="preserve"> reviews and analyzes insurance rates, rules, and policy forms; intervenes in legal and other matters, as appropriate; and provides c</w:t>
            </w:r>
            <w:r>
              <w:t xml:space="preserve">onsumer education on insurance issues. Regarding health insurance, OPIC also prepares </w:t>
            </w:r>
            <w:r w:rsidR="00980105">
              <w:t xml:space="preserve">certain </w:t>
            </w:r>
            <w:r>
              <w:t>statutorily</w:t>
            </w:r>
            <w:r w:rsidR="00F21E5E">
              <w:t xml:space="preserve"> </w:t>
            </w:r>
            <w:r>
              <w:t xml:space="preserve">required </w:t>
            </w:r>
            <w:r w:rsidR="00980105">
              <w:t xml:space="preserve">annual </w:t>
            </w:r>
            <w:r>
              <w:t>report cards on health maintenance organizations (HMO</w:t>
            </w:r>
            <w:r w:rsidR="00F21E5E">
              <w:t>s</w:t>
            </w:r>
            <w:r>
              <w:t>). The Texas Department of Insurance (TDI) is tasked with assessing network adeq</w:t>
            </w:r>
            <w:r>
              <w:t xml:space="preserve">uacy compliance and approving access plans and waivers when </w:t>
            </w:r>
            <w:r w:rsidR="00980105">
              <w:t>certain managed care plans are</w:t>
            </w:r>
            <w:r>
              <w:t xml:space="preserve"> unable to meet the network adequacy requirements. </w:t>
            </w:r>
          </w:p>
          <w:p w14:paraId="3679E216" w14:textId="77777777" w:rsidR="00D3251E" w:rsidRDefault="00D3251E" w:rsidP="001770B8">
            <w:pPr>
              <w:pStyle w:val="Header"/>
              <w:jc w:val="both"/>
            </w:pPr>
          </w:p>
          <w:p w14:paraId="792B56D0" w14:textId="6ADE0E9C" w:rsidR="008423E4" w:rsidRDefault="00427905" w:rsidP="001770B8">
            <w:pPr>
              <w:pStyle w:val="Header"/>
              <w:jc w:val="both"/>
            </w:pPr>
            <w:r>
              <w:t xml:space="preserve">Consumers and stakeholders have raised concerns that inadequate networks </w:t>
            </w:r>
            <w:r w:rsidR="00980105">
              <w:t>may negatively affect patient access to or choice of in-network physicians and providers</w:t>
            </w:r>
            <w:r>
              <w:t xml:space="preserve">. Although OPIC is directed </w:t>
            </w:r>
            <w:r w:rsidR="00F42A1B">
              <w:t>under law</w:t>
            </w:r>
            <w:r>
              <w:t xml:space="preserve"> to represent the interests of consumers, the office does not have powers related to monitoring the adequacy of managed care networks. Additionally, </w:t>
            </w:r>
            <w:r w:rsidR="00F42A1B">
              <w:t>current law</w:t>
            </w:r>
            <w:r>
              <w:t xml:space="preserve"> expressly </w:t>
            </w:r>
            <w:r w:rsidR="00F42A1B">
              <w:t>provide</w:t>
            </w:r>
            <w:r>
              <w:t xml:space="preserve">s for OPIC's duties relating to HMOs, including their requirement to develop and issue annual report cards on them. </w:t>
            </w:r>
            <w:r w:rsidR="00980105">
              <w:t xml:space="preserve">Exclusive provider </w:t>
            </w:r>
            <w:r w:rsidR="00AF5696">
              <w:t>benefit</w:t>
            </w:r>
            <w:r w:rsidR="00980105">
              <w:t xml:space="preserve"> plans (EPBPs) and preferred provider benefit plans (PPBPs) are not currently included in these annual report card laws</w:t>
            </w:r>
            <w:r>
              <w:t xml:space="preserve">. </w:t>
            </w:r>
            <w:r w:rsidR="00F42A1B">
              <w:t>S.B.</w:t>
            </w:r>
            <w:r w:rsidR="00F21E5E">
              <w:t> </w:t>
            </w:r>
            <w:r w:rsidR="00F42A1B">
              <w:t xml:space="preserve">1140 </w:t>
            </w:r>
            <w:r w:rsidR="00B930EB">
              <w:t xml:space="preserve">seeks to address these issues by </w:t>
            </w:r>
            <w:r w:rsidR="00D3251E">
              <w:t>requir</w:t>
            </w:r>
            <w:r w:rsidR="00B930EB">
              <w:t xml:space="preserve">ing </w:t>
            </w:r>
            <w:r w:rsidR="00D3251E">
              <w:t xml:space="preserve">OPIC to </w:t>
            </w:r>
            <w:r w:rsidR="00D3251E" w:rsidRPr="00D3251E">
              <w:t xml:space="preserve">monitor the adequacy of networks offered by </w:t>
            </w:r>
            <w:r w:rsidR="00980105" w:rsidRPr="00980105">
              <w:t>a</w:t>
            </w:r>
            <w:r w:rsidR="00980105">
              <w:t>n HMO</w:t>
            </w:r>
            <w:r w:rsidR="00980105" w:rsidRPr="00980105">
              <w:t xml:space="preserve"> </w:t>
            </w:r>
            <w:r w:rsidR="00147EFD">
              <w:t>plan, an EPBP</w:t>
            </w:r>
            <w:r w:rsidR="001E42B0">
              <w:t>,</w:t>
            </w:r>
            <w:r w:rsidR="00147EFD">
              <w:t xml:space="preserve"> or a PPBP</w:t>
            </w:r>
            <w:r w:rsidR="00980105" w:rsidRPr="00980105">
              <w:t xml:space="preserve"> </w:t>
            </w:r>
            <w:r w:rsidR="00D3251E" w:rsidRPr="00D3251E">
              <w:t>by reviewing related filings, applications, and requests</w:t>
            </w:r>
            <w:r w:rsidR="003C2E19">
              <w:t xml:space="preserve"> </w:t>
            </w:r>
            <w:r w:rsidR="00D3251E" w:rsidRPr="00D3251E">
              <w:t>for accuracy, accessibility of health care services, and reasonable access to covered benefits</w:t>
            </w:r>
            <w:r w:rsidR="00D3251E">
              <w:t xml:space="preserve">. </w:t>
            </w:r>
            <w:r w:rsidR="00147EFD">
              <w:t xml:space="preserve">S.B. 1140 also seeks to address these issues by </w:t>
            </w:r>
            <w:r w:rsidR="00147EFD" w:rsidRPr="00147EFD">
              <w:t>requiring OPIC to develop annual consumer report cards that identify and compare, on an objective basis, these three types of managed care plans</w:t>
            </w:r>
            <w:r w:rsidR="00147EFD">
              <w:t>.</w:t>
            </w:r>
          </w:p>
          <w:p w14:paraId="0EAE6D4A" w14:textId="77777777" w:rsidR="008423E4" w:rsidRPr="00E26B13" w:rsidRDefault="008423E4" w:rsidP="001770B8">
            <w:pPr>
              <w:rPr>
                <w:b/>
              </w:rPr>
            </w:pPr>
          </w:p>
        </w:tc>
      </w:tr>
      <w:tr w:rsidR="00995E25" w14:paraId="1D3A6977" w14:textId="77777777" w:rsidTr="00345119">
        <w:tc>
          <w:tcPr>
            <w:tcW w:w="9576" w:type="dxa"/>
          </w:tcPr>
          <w:p w14:paraId="1D0A7C5F" w14:textId="77777777" w:rsidR="0017725B" w:rsidRDefault="00427905" w:rsidP="001770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</w:t>
            </w:r>
            <w:r>
              <w:rPr>
                <w:b/>
                <w:u w:val="single"/>
              </w:rPr>
              <w:t>L JUSTICE IMPACT</w:t>
            </w:r>
          </w:p>
          <w:p w14:paraId="3651F9BE" w14:textId="77777777" w:rsidR="0017725B" w:rsidRDefault="0017725B" w:rsidP="001770B8">
            <w:pPr>
              <w:rPr>
                <w:b/>
                <w:u w:val="single"/>
              </w:rPr>
            </w:pPr>
          </w:p>
          <w:p w14:paraId="319691F3" w14:textId="7869ECEB" w:rsidR="00556A29" w:rsidRPr="00556A29" w:rsidRDefault="00427905" w:rsidP="001770B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</w:t>
            </w:r>
            <w:r>
              <w:t>parole, or mandatory supervision.</w:t>
            </w:r>
          </w:p>
          <w:p w14:paraId="09BFC6CD" w14:textId="77777777" w:rsidR="0017725B" w:rsidRPr="0017725B" w:rsidRDefault="0017725B" w:rsidP="001770B8">
            <w:pPr>
              <w:rPr>
                <w:b/>
                <w:u w:val="single"/>
              </w:rPr>
            </w:pPr>
          </w:p>
        </w:tc>
      </w:tr>
      <w:tr w:rsidR="00995E25" w14:paraId="529E490B" w14:textId="77777777" w:rsidTr="00345119">
        <w:tc>
          <w:tcPr>
            <w:tcW w:w="9576" w:type="dxa"/>
          </w:tcPr>
          <w:p w14:paraId="64ECAD2C" w14:textId="77777777" w:rsidR="008423E4" w:rsidRPr="00A8133F" w:rsidRDefault="00427905" w:rsidP="001770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BC4F5B" w14:textId="77777777" w:rsidR="008423E4" w:rsidRDefault="008423E4" w:rsidP="001770B8"/>
          <w:p w14:paraId="5FAC9592" w14:textId="7AF2F174" w:rsidR="00556A29" w:rsidRDefault="00427905" w:rsidP="001770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4F8A9FF" w14:textId="77777777" w:rsidR="008423E4" w:rsidRPr="00E21FDC" w:rsidRDefault="008423E4" w:rsidP="001770B8">
            <w:pPr>
              <w:rPr>
                <w:b/>
              </w:rPr>
            </w:pPr>
          </w:p>
        </w:tc>
      </w:tr>
      <w:tr w:rsidR="00995E25" w14:paraId="565F536E" w14:textId="77777777" w:rsidTr="00345119">
        <w:tc>
          <w:tcPr>
            <w:tcW w:w="9576" w:type="dxa"/>
          </w:tcPr>
          <w:p w14:paraId="1D6507AF" w14:textId="77777777" w:rsidR="008423E4" w:rsidRPr="00A8133F" w:rsidRDefault="00427905" w:rsidP="001770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E49280" w14:textId="05922ED5" w:rsidR="008423E4" w:rsidRDefault="00427905" w:rsidP="001770B8">
            <w:r>
              <w:t xml:space="preserve">   </w:t>
            </w:r>
          </w:p>
          <w:p w14:paraId="18EB8653" w14:textId="668D4D4F" w:rsidR="009C5A63" w:rsidRDefault="00427905" w:rsidP="001770B8">
            <w:pPr>
              <w:pStyle w:val="Header"/>
              <w:jc w:val="both"/>
            </w:pPr>
            <w:r>
              <w:t>S.B. 1140</w:t>
            </w:r>
            <w:r w:rsidR="003A6548">
              <w:t xml:space="preserve"> amends the Insurance Code to</w:t>
            </w:r>
            <w:r w:rsidR="00620AEC">
              <w:t xml:space="preserve"> require </w:t>
            </w:r>
            <w:r w:rsidR="00620AEC" w:rsidRPr="00620AEC">
              <w:t>the office of public insurance counsel (OPIC)</w:t>
            </w:r>
            <w:r w:rsidR="00620AEC">
              <w:t xml:space="preserve"> </w:t>
            </w:r>
            <w:r w:rsidR="00620AEC" w:rsidRPr="00620AEC">
              <w:t xml:space="preserve">to monitor the adequacy of networks offered by managed care plans in </w:t>
            </w:r>
            <w:r w:rsidR="00620AEC">
              <w:t>Texas</w:t>
            </w:r>
            <w:r w:rsidR="00620AEC" w:rsidRPr="00620AEC">
              <w:t xml:space="preserve"> by reviewing related filings, applications, and requests, including </w:t>
            </w:r>
            <w:r w:rsidR="00C43FFA">
              <w:t>those</w:t>
            </w:r>
            <w:r w:rsidR="00620AEC" w:rsidRPr="00620AEC">
              <w:t xml:space="preserve"> related to access plans or waivers of network adequacy requirements, for accuracy, accessibility of health care services, and reasonable access to covered benefits. </w:t>
            </w:r>
            <w:r w:rsidR="00423051">
              <w:t>T</w:t>
            </w:r>
            <w:r w:rsidR="004926E3">
              <w:t>he bill defines "manage</w:t>
            </w:r>
            <w:r w:rsidR="00254E25">
              <w:t>d</w:t>
            </w:r>
            <w:r w:rsidR="004926E3">
              <w:t xml:space="preserve"> care plan" </w:t>
            </w:r>
            <w:r w:rsidR="00E76F61" w:rsidRPr="00E76F61">
              <w:t xml:space="preserve">as a health maintenance organization (HMO) plan provided under the Texas Health Maintenance </w:t>
            </w:r>
            <w:r w:rsidR="00FE6C63">
              <w:t xml:space="preserve">Organization </w:t>
            </w:r>
            <w:r w:rsidR="00E76F61" w:rsidRPr="00E76F61">
              <w:t>Act or a preferred provider benefit plan or an exclusive provider benefit plan defined under statutory provisions governing preferred provider benefit plans</w:t>
            </w:r>
            <w:r w:rsidR="001F58BF">
              <w:t xml:space="preserve">. </w:t>
            </w:r>
          </w:p>
          <w:p w14:paraId="7A2656CA" w14:textId="77777777" w:rsidR="009C5A63" w:rsidRDefault="009C5A63" w:rsidP="001770B8">
            <w:pPr>
              <w:pStyle w:val="Header"/>
              <w:jc w:val="both"/>
            </w:pPr>
          </w:p>
          <w:p w14:paraId="26D50EBF" w14:textId="050C9525" w:rsidR="009C36CD" w:rsidRDefault="00427905" w:rsidP="001770B8">
            <w:pPr>
              <w:pStyle w:val="Header"/>
              <w:jc w:val="both"/>
            </w:pPr>
            <w:r>
              <w:t>S.B. 1140</w:t>
            </w:r>
            <w:r w:rsidR="00D65ACC">
              <w:t xml:space="preserve"> </w:t>
            </w:r>
            <w:r w:rsidR="001F58BF" w:rsidRPr="001F58BF">
              <w:t xml:space="preserve">authorizes OPIC to </w:t>
            </w:r>
            <w:r w:rsidR="00620AEC" w:rsidRPr="00620AEC">
              <w:t>advocate for consumers</w:t>
            </w:r>
            <w:r w:rsidR="008D1101">
              <w:t>,</w:t>
            </w:r>
            <w:r w:rsidR="00620AEC" w:rsidRPr="00620AEC">
              <w:t xml:space="preserve"> in </w:t>
            </w:r>
            <w:r w:rsidR="00620AEC">
              <w:t>OPIC's</w:t>
            </w:r>
            <w:r w:rsidR="00620AEC" w:rsidRPr="00620AEC">
              <w:t xml:space="preserve"> own name</w:t>
            </w:r>
            <w:r w:rsidR="008D1101">
              <w:t>,</w:t>
            </w:r>
            <w:r w:rsidR="00620AEC" w:rsidRPr="00620AEC">
              <w:t xml:space="preserve"> positions to strengthen the overall adequacy or oversight of networks offered by managed care plans in Texas and positions to strengthen the adequacy or oversight of a particular network offered by a managed care plan in Texas</w:t>
            </w:r>
            <w:r>
              <w:t>. The bill authorizes the public counsel to do the following:</w:t>
            </w:r>
          </w:p>
          <w:p w14:paraId="2F6075F7" w14:textId="77777777" w:rsidR="00556A29" w:rsidRDefault="00427905" w:rsidP="001770B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appear or intervene, as a party or otherwise, as a matter of right before the commissioner</w:t>
            </w:r>
            <w:r w:rsidR="001F58BF">
              <w:t xml:space="preserve"> of insurance</w:t>
            </w:r>
            <w:r>
              <w:t xml:space="preserve"> or </w:t>
            </w:r>
            <w:r w:rsidR="001F58BF">
              <w:t>Texas D</w:t>
            </w:r>
            <w:r>
              <w:t>epartme</w:t>
            </w:r>
            <w:r>
              <w:t>nt</w:t>
            </w:r>
            <w:r w:rsidR="001F58BF">
              <w:t xml:space="preserve"> of Insurance (TDI)</w:t>
            </w:r>
            <w:r>
              <w:t xml:space="preserve"> on behalf of insurance consumers, as a class, in matters involving </w:t>
            </w:r>
            <w:r w:rsidRPr="00FA25D5">
              <w:t>a managed care plan's ability to provide accessible health care services and reasonable access to covered benefits</w:t>
            </w:r>
            <w:r>
              <w:t>; and</w:t>
            </w:r>
          </w:p>
          <w:p w14:paraId="550F41EE" w14:textId="09A94EFA" w:rsidR="00FA25D5" w:rsidRDefault="00427905" w:rsidP="001770B8">
            <w:pPr>
              <w:pStyle w:val="Header"/>
              <w:numPr>
                <w:ilvl w:val="0"/>
                <w:numId w:val="1"/>
              </w:numPr>
              <w:jc w:val="both"/>
            </w:pPr>
            <w:r w:rsidRPr="00FA25D5">
              <w:t>file objections and request a hearing regarding</w:t>
            </w:r>
            <w:r w:rsidRPr="00FA25D5">
              <w:t xml:space="preserve"> any application, filing, or request that a managed care plan files with </w:t>
            </w:r>
            <w:r w:rsidR="00556A29">
              <w:t>TDI</w:t>
            </w:r>
            <w:r w:rsidRPr="00FA25D5">
              <w:t xml:space="preserve"> related to an access plan or waiver of a network adequacy requirement, including an application, filing, or request that is currently pending or that has already been approved.</w:t>
            </w:r>
          </w:p>
          <w:p w14:paraId="53E4969B" w14:textId="77777777" w:rsidR="00D65ACC" w:rsidRDefault="00D65ACC" w:rsidP="001770B8">
            <w:pPr>
              <w:pStyle w:val="Header"/>
              <w:jc w:val="both"/>
            </w:pPr>
          </w:p>
          <w:p w14:paraId="13D2117C" w14:textId="454A0481" w:rsidR="00A617D6" w:rsidRDefault="00427905" w:rsidP="001770B8">
            <w:pPr>
              <w:pStyle w:val="Header"/>
              <w:jc w:val="both"/>
            </w:pPr>
            <w:r>
              <w:t>S</w:t>
            </w:r>
            <w:r>
              <w:t xml:space="preserve">.B. 1140 </w:t>
            </w:r>
            <w:r w:rsidR="00F848A1">
              <w:t xml:space="preserve">entitles OPIC, </w:t>
            </w:r>
            <w:r w:rsidR="00556A29">
              <w:t>for purposes of</w:t>
            </w:r>
            <w:r w:rsidR="00F848A1">
              <w:t xml:space="preserve"> assist</w:t>
            </w:r>
            <w:r w:rsidR="00556A29">
              <w:t>ing</w:t>
            </w:r>
            <w:r w:rsidR="00F848A1">
              <w:t xml:space="preserve"> OPIC in determining whether to request a hearing with respect to any </w:t>
            </w:r>
            <w:r w:rsidR="009C5A63">
              <w:t xml:space="preserve">such </w:t>
            </w:r>
            <w:r w:rsidR="00F848A1">
              <w:t xml:space="preserve">application, filing, or request that </w:t>
            </w:r>
            <w:r w:rsidR="00F848A1" w:rsidRPr="00F848A1">
              <w:t xml:space="preserve">managed care plan files with </w:t>
            </w:r>
            <w:r w:rsidR="00556A29">
              <w:t>TDI</w:t>
            </w:r>
            <w:r w:rsidR="00F848A1">
              <w:t>,</w:t>
            </w:r>
            <w:r w:rsidR="00FE7D47">
              <w:t xml:space="preserve"> to review all relevant filings and information that a managed care plan submits to </w:t>
            </w:r>
            <w:r w:rsidR="00556A29">
              <w:t>TDI</w:t>
            </w:r>
            <w:r w:rsidR="00FE7D47">
              <w:t xml:space="preserve">, including communications related to the filing and to communicate with a managed care plan regarding the submission. </w:t>
            </w:r>
            <w:r w:rsidR="00423051">
              <w:t>The bill</w:t>
            </w:r>
            <w:r w:rsidR="007A30FE">
              <w:t xml:space="preserve"> establishes that</w:t>
            </w:r>
            <w:r w:rsidR="002D21F5">
              <w:t xml:space="preserve"> a</w:t>
            </w:r>
            <w:r w:rsidR="00FE7D47">
              <w:t xml:space="preserve"> matter for which OPIC files objections and requests a hearing is a contested case that may be subject to informal disposition or heard by the State Office of Administrative Hearings under </w:t>
            </w:r>
            <w:r w:rsidR="0055397E" w:rsidRPr="0055397E">
              <w:t>the Administrative Procedure Act</w:t>
            </w:r>
            <w:r w:rsidR="0055397E">
              <w:t>.</w:t>
            </w:r>
            <w:r w:rsidR="00556A29">
              <w:t xml:space="preserve"> </w:t>
            </w:r>
            <w:r w:rsidR="0055397E">
              <w:t xml:space="preserve">The bill establishes </w:t>
            </w:r>
            <w:r>
              <w:t xml:space="preserve">that nothing, with respect to statutory provisions relating to OPIC, may </w:t>
            </w:r>
            <w:r w:rsidR="00FE7D47">
              <w:t>be construed as authorizing a managed care plan to request a waiver of network adequacy requirements or to use an access plan unless otherwise authorized by law or regulation.</w:t>
            </w:r>
            <w:r>
              <w:t xml:space="preserve"> The bil</w:t>
            </w:r>
            <w:r>
              <w:t>l</w:t>
            </w:r>
            <w:r w:rsidR="00556A29">
              <w:t xml:space="preserve"> </w:t>
            </w:r>
            <w:r>
              <w:t xml:space="preserve">entitles </w:t>
            </w:r>
            <w:r w:rsidR="009C5A63">
              <w:t>the public counsel</w:t>
            </w:r>
            <w:r>
              <w:t xml:space="preserve"> </w:t>
            </w:r>
            <w:r w:rsidRPr="00A617D6">
              <w:t>to all filings, including any attachments and supporting documentation, made by a managed care plan relating to the adequacy of a network offered by the plan, and any regulatory correspondence relating to the filings.</w:t>
            </w:r>
            <w:r w:rsidR="00AF5696">
              <w:t xml:space="preserve"> The bill clarifies that the prohibition against the public counsel intervening or appearing in a proceeding or hearing that relates to approval or consideration of an individual charter, license, certificate of authority, acquisition, merger, or examination or  a proceeding concerning the solvency of an individual insurer, a financial issue, a policy form, advertising, or another regulatory issue affecting an individual insurer or agent applies except as otherwise provided by the Insurance Code.</w:t>
            </w:r>
          </w:p>
          <w:p w14:paraId="12126B94" w14:textId="111952B7" w:rsidR="00A617D6" w:rsidRDefault="00A617D6" w:rsidP="001770B8">
            <w:pPr>
              <w:pStyle w:val="Header"/>
              <w:jc w:val="both"/>
            </w:pPr>
          </w:p>
          <w:p w14:paraId="1C0FDB45" w14:textId="345FAF41" w:rsidR="00D73FC0" w:rsidRDefault="00427905" w:rsidP="001770B8">
            <w:pPr>
              <w:pStyle w:val="Header"/>
              <w:jc w:val="both"/>
            </w:pPr>
            <w:r>
              <w:t xml:space="preserve">S.B. 1140 </w:t>
            </w:r>
            <w:r w:rsidR="00C071E2">
              <w:t>authorizes</w:t>
            </w:r>
            <w:r>
              <w:t xml:space="preserve"> OPIC </w:t>
            </w:r>
            <w:r w:rsidR="00C071E2">
              <w:t>to</w:t>
            </w:r>
            <w:r w:rsidRPr="00D73FC0">
              <w:t xml:space="preserve"> submit written comments to the commissioner</w:t>
            </w:r>
            <w:r w:rsidR="00C071E2">
              <w:t xml:space="preserve"> of insurance</w:t>
            </w:r>
            <w:r w:rsidRPr="00D73FC0">
              <w:t xml:space="preserve"> and otherwise participate regarding individual insurer filings</w:t>
            </w:r>
            <w:r>
              <w:t xml:space="preserve"> </w:t>
            </w:r>
            <w:r w:rsidRPr="00D73FC0">
              <w:t>relating to the adequacy of a network offered by a managed care plan, regardless of whether the filing is pending or has alre</w:t>
            </w:r>
            <w:r w:rsidRPr="00D73FC0">
              <w:t>ady been approved</w:t>
            </w:r>
            <w:r w:rsidR="00C071E2">
              <w:t>. The bill authorizes OPIC to</w:t>
            </w:r>
            <w:r>
              <w:t xml:space="preserve"> comment on or otherwise participate regarding the effect or implementation of </w:t>
            </w:r>
            <w:r w:rsidR="00C071E2">
              <w:t xml:space="preserve">such </w:t>
            </w:r>
            <w:r>
              <w:t>a filing</w:t>
            </w:r>
            <w:r w:rsidR="00C071E2">
              <w:t xml:space="preserve">, </w:t>
            </w:r>
            <w:r>
              <w:t>including comments regarding concerns that a managed care plan</w:t>
            </w:r>
            <w:r w:rsidR="00C071E2">
              <w:t xml:space="preserve"> </w:t>
            </w:r>
            <w:r>
              <w:t xml:space="preserve">is operating with an inadequate network in </w:t>
            </w:r>
            <w:r w:rsidR="00C071E2">
              <w:t xml:space="preserve">Texas, </w:t>
            </w:r>
            <w:r>
              <w:t>may</w:t>
            </w:r>
            <w:r>
              <w:t xml:space="preserve"> be in violation of a network adequacy law or regulation</w:t>
            </w:r>
            <w:r w:rsidR="00C071E2">
              <w:t>,</w:t>
            </w:r>
            <w:r>
              <w:t xml:space="preserve"> or has an inaccurate provider network directory.</w:t>
            </w:r>
            <w:r w:rsidR="00C071E2">
              <w:t xml:space="preserve"> The bill requires TDI, f</w:t>
            </w:r>
            <w:r>
              <w:t xml:space="preserve">or written comments filed with </w:t>
            </w:r>
            <w:r w:rsidR="00C071E2">
              <w:t>TDI</w:t>
            </w:r>
            <w:r>
              <w:t xml:space="preserve"> regarding</w:t>
            </w:r>
            <w:r w:rsidR="00C071E2">
              <w:t xml:space="preserve"> </w:t>
            </w:r>
            <w:r w:rsidR="00020690">
              <w:t>such</w:t>
            </w:r>
            <w:r>
              <w:t xml:space="preserve"> filings</w:t>
            </w:r>
            <w:r w:rsidR="00C071E2">
              <w:t xml:space="preserve">, to </w:t>
            </w:r>
            <w:r>
              <w:t xml:space="preserve">respond to the comments promptly and provide updates to </w:t>
            </w:r>
            <w:r w:rsidR="006D56A7">
              <w:t>OPIC</w:t>
            </w:r>
            <w:r>
              <w:t xml:space="preserve"> an</w:t>
            </w:r>
            <w:r>
              <w:t xml:space="preserve">d the managed care plan regarding actions taken by </w:t>
            </w:r>
            <w:r w:rsidR="006D56A7">
              <w:t>TDI</w:t>
            </w:r>
            <w:r>
              <w:t xml:space="preserve"> or other actions taken to address issues raised in the comments</w:t>
            </w:r>
            <w:r w:rsidR="006D56A7">
              <w:t xml:space="preserve"> </w:t>
            </w:r>
            <w:r>
              <w:t>and</w:t>
            </w:r>
            <w:r w:rsidR="006D56A7">
              <w:t xml:space="preserve"> to </w:t>
            </w:r>
            <w:r>
              <w:t xml:space="preserve">consider conducting a targeted market conduct examination under </w:t>
            </w:r>
            <w:r w:rsidR="006D56A7" w:rsidRPr="006D56A7">
              <w:t>the Insurance Market Conduct Surveillance Act</w:t>
            </w:r>
            <w:r>
              <w:t xml:space="preserve"> or another form of i</w:t>
            </w:r>
            <w:r>
              <w:t>nvestigation to determine the existence and extent of potential violations.</w:t>
            </w:r>
          </w:p>
          <w:p w14:paraId="4D87A8F9" w14:textId="195E46B7" w:rsidR="00A617D6" w:rsidRDefault="00A617D6" w:rsidP="001770B8">
            <w:pPr>
              <w:pStyle w:val="Header"/>
              <w:jc w:val="both"/>
            </w:pPr>
          </w:p>
          <w:p w14:paraId="6902D356" w14:textId="7A9964FB" w:rsidR="00D73FC0" w:rsidRDefault="00427905" w:rsidP="001770B8">
            <w:pPr>
              <w:pStyle w:val="Header"/>
              <w:jc w:val="both"/>
            </w:pPr>
            <w:r>
              <w:t xml:space="preserve">S.B. 1140 </w:t>
            </w:r>
            <w:r w:rsidR="00A376B2">
              <w:t>replaces</w:t>
            </w:r>
            <w:r w:rsidR="00080ED2">
              <w:t xml:space="preserve"> the requirement for OPIC to </w:t>
            </w:r>
            <w:r w:rsidR="00080ED2" w:rsidRPr="00080ED2">
              <w:t>develop and implement a system to compare and evaluate, on an objective basis, the quality of care provided by</w:t>
            </w:r>
            <w:r w:rsidR="009E63E8">
              <w:t>,</w:t>
            </w:r>
            <w:r w:rsidR="003174B3">
              <w:t xml:space="preserve"> and the performance of</w:t>
            </w:r>
            <w:r w:rsidR="009E63E8">
              <w:t>,</w:t>
            </w:r>
            <w:r w:rsidR="005C2D3A">
              <w:t xml:space="preserve"> HMOs</w:t>
            </w:r>
            <w:r w:rsidR="003174B3">
              <w:t xml:space="preserve"> with a requirement for OPIC to develop and implement</w:t>
            </w:r>
            <w:r w:rsidR="009E63E8">
              <w:t xml:space="preserve"> instead</w:t>
            </w:r>
            <w:r w:rsidR="003174B3">
              <w:t xml:space="preserve"> a system to compare and evaluate, on an objective basis, the quality of care provided by,</w:t>
            </w:r>
            <w:r w:rsidR="00080ED2" w:rsidRPr="00080ED2">
              <w:t xml:space="preserve"> the adequacy of networks offered by, and the performance of</w:t>
            </w:r>
            <w:r w:rsidR="009E63E8">
              <w:t>,</w:t>
            </w:r>
            <w:r w:rsidR="00080ED2" w:rsidRPr="00080ED2">
              <w:t xml:space="preserve"> managed care plans</w:t>
            </w:r>
            <w:r w:rsidR="00080ED2">
              <w:t>. The bill requires OPIC, i</w:t>
            </w:r>
            <w:r>
              <w:t>n conducting comparisons under the syste</w:t>
            </w:r>
            <w:r w:rsidR="00080ED2">
              <w:t xml:space="preserve">m, to compare </w:t>
            </w:r>
            <w:r w:rsidR="00E545EB">
              <w:t>HMOs</w:t>
            </w:r>
            <w:r>
              <w:t xml:space="preserve"> to other </w:t>
            </w:r>
            <w:r w:rsidR="00E545EB">
              <w:t>HMOs</w:t>
            </w:r>
            <w:r w:rsidR="00080ED2">
              <w:t xml:space="preserve">, </w:t>
            </w:r>
            <w:r>
              <w:t>preferred provider benefit plans to other preferred provider benefit plans</w:t>
            </w:r>
            <w:r w:rsidR="00080ED2">
              <w:t>,</w:t>
            </w:r>
            <w:r>
              <w:t xml:space="preserve"> and</w:t>
            </w:r>
            <w:r w:rsidR="00080ED2">
              <w:t xml:space="preserve"> </w:t>
            </w:r>
            <w:r>
              <w:t>exclusive provider benefit plans to other exclusive provider benefit plans.</w:t>
            </w:r>
            <w:r w:rsidR="00080ED2">
              <w:t xml:space="preserve"> </w:t>
            </w:r>
            <w:r w:rsidR="00E545EB">
              <w:t xml:space="preserve">The bill </w:t>
            </w:r>
            <w:r w:rsidR="00FA51D0">
              <w:t>replaces the requirement for OPIC to develop and issue annual consumer report cards that identify and compare, on an objective basis, HMOs in Texas with a requirement for OPIC to develop and issue such report cards that identify and compare, on an objective basis, managed care plans</w:t>
            </w:r>
            <w:r w:rsidR="00BC3526">
              <w:t>.</w:t>
            </w:r>
            <w:r w:rsidR="00E545EB">
              <w:t xml:space="preserve"> </w:t>
            </w:r>
            <w:r w:rsidR="00080ED2">
              <w:t>The bill requires t</w:t>
            </w:r>
            <w:r w:rsidR="00620AEC">
              <w:t xml:space="preserve">he consumer report cards </w:t>
            </w:r>
            <w:r w:rsidR="00080ED2">
              <w:t>to</w:t>
            </w:r>
            <w:r w:rsidR="00620AEC">
              <w:t xml:space="preserve"> include comparisons of types of managed care plans in the same manner as </w:t>
            </w:r>
            <w:r w:rsidR="00D47D57">
              <w:t xml:space="preserve">OPIC conducts comparisons under the system </w:t>
            </w:r>
            <w:r w:rsidR="00620AEC">
              <w:t>and</w:t>
            </w:r>
            <w:r w:rsidR="00080ED2">
              <w:t xml:space="preserve">, </w:t>
            </w:r>
            <w:r w:rsidR="00620AEC">
              <w:t xml:space="preserve">at the discretion of </w:t>
            </w:r>
            <w:r w:rsidR="00080ED2">
              <w:t>OPIC</w:t>
            </w:r>
            <w:r w:rsidR="00620AEC">
              <w:t>,</w:t>
            </w:r>
            <w:r w:rsidR="00080ED2">
              <w:t xml:space="preserve"> to</w:t>
            </w:r>
            <w:r w:rsidR="00620AEC">
              <w:t xml:space="preserve"> be staggered for release throughout the year based on the type of managed care plan that is the subject of the consumer report card</w:t>
            </w:r>
            <w:r w:rsidR="00D47D57">
              <w:t>. A</w:t>
            </w:r>
            <w:r w:rsidR="00620AEC">
              <w:t>ll consumer report cards for a particular type of managed care plan must be released at the same time.</w:t>
            </w:r>
            <w:r w:rsidR="00D47D57">
              <w:t xml:space="preserve"> </w:t>
            </w:r>
            <w:r w:rsidR="00AF5696">
              <w:t xml:space="preserve">The bill replaces the prohibitions against OPIC endorsing or recommending a specific HMO or plan, or subjectively rating or ranking HMOs or plans, other than through comparison and evaluation of objective criteria with a prohibition against OPIC endorsing or recommending a specific managed care plan, or subjectively rating or ranking managed care plans or managed care plan issuers, other than through comparison and evaluation of objective criteria. </w:t>
            </w:r>
            <w:r>
              <w:t>The bill establis</w:t>
            </w:r>
            <w:r>
              <w:t xml:space="preserve">hes legislative intent </w:t>
            </w:r>
            <w:r w:rsidRPr="00D73FC0">
              <w:t xml:space="preserve">to provide </w:t>
            </w:r>
            <w:r>
              <w:t>OPIC</w:t>
            </w:r>
            <w:r w:rsidRPr="00D73FC0">
              <w:t xml:space="preserve"> with the flexibility to establish a timeline for the implementation, development, and initial issuance of annual consumer report cards </w:t>
            </w:r>
            <w:r w:rsidR="009E63E8">
              <w:t xml:space="preserve">that identify and compare managed care plans </w:t>
            </w:r>
            <w:r w:rsidRPr="00D73FC0">
              <w:t xml:space="preserve">in a manner that best uses current </w:t>
            </w:r>
            <w:r>
              <w:t>OP</w:t>
            </w:r>
            <w:r>
              <w:t>IC</w:t>
            </w:r>
            <w:r w:rsidRPr="00D73FC0">
              <w:t xml:space="preserve"> resources.</w:t>
            </w:r>
          </w:p>
          <w:p w14:paraId="36365D79" w14:textId="77777777" w:rsidR="00FA25D5" w:rsidRDefault="00FA25D5" w:rsidP="001770B8">
            <w:pPr>
              <w:pStyle w:val="Header"/>
              <w:jc w:val="both"/>
            </w:pPr>
          </w:p>
          <w:p w14:paraId="2CA7469F" w14:textId="5AAE78F1" w:rsidR="003A6548" w:rsidRPr="009C36CD" w:rsidRDefault="00427905" w:rsidP="001770B8">
            <w:pPr>
              <w:pStyle w:val="Header"/>
              <w:jc w:val="both"/>
            </w:pPr>
            <w:r>
              <w:t>S</w:t>
            </w:r>
            <w:r w:rsidRPr="003A6548">
              <w:t>.B. 1140 amends the</w:t>
            </w:r>
            <w:r>
              <w:t xml:space="preserve"> Health and Safety Code to </w:t>
            </w:r>
            <w:r w:rsidR="006D56A7">
              <w:t>e</w:t>
            </w:r>
            <w:r>
              <w:t xml:space="preserve">xpand the definition of </w:t>
            </w:r>
            <w:r w:rsidR="006D56A7">
              <w:t>a "</w:t>
            </w:r>
            <w:r>
              <w:t>health benefit plan</w:t>
            </w:r>
            <w:r w:rsidR="006D56A7">
              <w:t xml:space="preserve">" </w:t>
            </w:r>
            <w:r w:rsidR="00921AEB">
              <w:t xml:space="preserve">for purposes of statutory provisions relating to </w:t>
            </w:r>
            <w:r w:rsidR="00921AEB" w:rsidRPr="006D56A7">
              <w:t>health care data collection</w:t>
            </w:r>
            <w:r w:rsidR="00921AEB">
              <w:t xml:space="preserve"> </w:t>
            </w:r>
            <w:r w:rsidR="006D56A7">
              <w:t xml:space="preserve">to include </w:t>
            </w:r>
            <w:r w:rsidR="00921AEB">
              <w:t xml:space="preserve">a </w:t>
            </w:r>
            <w:r w:rsidR="006D56A7" w:rsidRPr="006D56A7">
              <w:t>preferred provider or exclusive provider benefit plan issuer</w:t>
            </w:r>
            <w:r w:rsidR="006D56A7">
              <w:t>.</w:t>
            </w:r>
          </w:p>
          <w:p w14:paraId="56A36B7C" w14:textId="77777777" w:rsidR="008423E4" w:rsidRPr="00835628" w:rsidRDefault="008423E4" w:rsidP="001770B8">
            <w:pPr>
              <w:rPr>
                <w:b/>
              </w:rPr>
            </w:pPr>
          </w:p>
        </w:tc>
      </w:tr>
      <w:tr w:rsidR="00995E25" w14:paraId="51A8DAF9" w14:textId="77777777" w:rsidTr="00345119">
        <w:tc>
          <w:tcPr>
            <w:tcW w:w="9576" w:type="dxa"/>
          </w:tcPr>
          <w:p w14:paraId="22108592" w14:textId="77777777" w:rsidR="008423E4" w:rsidRPr="00A8133F" w:rsidRDefault="00427905" w:rsidP="001770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E0E703" w14:textId="77777777" w:rsidR="008423E4" w:rsidRDefault="008423E4" w:rsidP="001770B8"/>
          <w:p w14:paraId="450B480A" w14:textId="64153D23" w:rsidR="008423E4" w:rsidRPr="003624F2" w:rsidRDefault="00427905" w:rsidP="001770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CD77B7A" w14:textId="77777777" w:rsidR="008423E4" w:rsidRPr="00233FDB" w:rsidRDefault="008423E4" w:rsidP="001770B8">
            <w:pPr>
              <w:rPr>
                <w:b/>
              </w:rPr>
            </w:pPr>
          </w:p>
        </w:tc>
      </w:tr>
    </w:tbl>
    <w:p w14:paraId="55E572A0" w14:textId="77777777" w:rsidR="008423E4" w:rsidRPr="00BE0E75" w:rsidRDefault="008423E4" w:rsidP="001770B8">
      <w:pPr>
        <w:jc w:val="both"/>
        <w:rPr>
          <w:rFonts w:ascii="Arial" w:hAnsi="Arial"/>
          <w:sz w:val="16"/>
          <w:szCs w:val="16"/>
        </w:rPr>
      </w:pPr>
    </w:p>
    <w:p w14:paraId="5E6B3ABE" w14:textId="77777777" w:rsidR="004108C3" w:rsidRPr="008423E4" w:rsidRDefault="004108C3" w:rsidP="001770B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98BC" w14:textId="77777777" w:rsidR="00000000" w:rsidRDefault="00427905">
      <w:r>
        <w:separator/>
      </w:r>
    </w:p>
  </w:endnote>
  <w:endnote w:type="continuationSeparator" w:id="0">
    <w:p w14:paraId="5FDE1DBB" w14:textId="77777777" w:rsidR="00000000" w:rsidRDefault="004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E1E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5E25" w14:paraId="20CB5EEA" w14:textId="77777777" w:rsidTr="009C1E9A">
      <w:trPr>
        <w:cantSplit/>
      </w:trPr>
      <w:tc>
        <w:tcPr>
          <w:tcW w:w="0" w:type="pct"/>
        </w:tcPr>
        <w:p w14:paraId="4C02C2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FBE8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2060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245F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653C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5E25" w14:paraId="0889334F" w14:textId="77777777" w:rsidTr="009C1E9A">
      <w:trPr>
        <w:cantSplit/>
      </w:trPr>
      <w:tc>
        <w:tcPr>
          <w:tcW w:w="0" w:type="pct"/>
        </w:tcPr>
        <w:p w14:paraId="3504F7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989238" w14:textId="0818EAE4" w:rsidR="00EC379B" w:rsidRPr="009C1E9A" w:rsidRDefault="0042790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30673-D</w:t>
          </w:r>
        </w:p>
      </w:tc>
      <w:tc>
        <w:tcPr>
          <w:tcW w:w="2453" w:type="pct"/>
        </w:tcPr>
        <w:p w14:paraId="6A2E2D35" w14:textId="0FD400C9" w:rsidR="00EC379B" w:rsidRDefault="004279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2FB3">
            <w:t>23.136.907</w:t>
          </w:r>
          <w:r>
            <w:fldChar w:fldCharType="end"/>
          </w:r>
        </w:p>
      </w:tc>
    </w:tr>
    <w:tr w:rsidR="00995E25" w14:paraId="043B0D3C" w14:textId="77777777" w:rsidTr="009C1E9A">
      <w:trPr>
        <w:cantSplit/>
      </w:trPr>
      <w:tc>
        <w:tcPr>
          <w:tcW w:w="0" w:type="pct"/>
        </w:tcPr>
        <w:p w14:paraId="128204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E5938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25949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5B36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5E25" w14:paraId="48C0F07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776DF1" w14:textId="77777777" w:rsidR="00EC379B" w:rsidRDefault="0042790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8C1AA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D658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98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850C" w14:textId="77777777" w:rsidR="00000000" w:rsidRDefault="00427905">
      <w:r>
        <w:separator/>
      </w:r>
    </w:p>
  </w:footnote>
  <w:footnote w:type="continuationSeparator" w:id="0">
    <w:p w14:paraId="7FDE71E2" w14:textId="77777777" w:rsidR="00000000" w:rsidRDefault="0042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36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2E7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8E3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6102"/>
    <w:multiLevelType w:val="hybridMultilevel"/>
    <w:tmpl w:val="9468D6EC"/>
    <w:lvl w:ilvl="0" w:tplc="5972C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20A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46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27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CF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8C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63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06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4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69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0ED2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F7E"/>
    <w:rsid w:val="00127893"/>
    <w:rsid w:val="001312BB"/>
    <w:rsid w:val="00137D90"/>
    <w:rsid w:val="00141405"/>
    <w:rsid w:val="00141FB6"/>
    <w:rsid w:val="00142F8E"/>
    <w:rsid w:val="00143C8B"/>
    <w:rsid w:val="00147530"/>
    <w:rsid w:val="00147EF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0B8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BD"/>
    <w:rsid w:val="001E4070"/>
    <w:rsid w:val="001E42B0"/>
    <w:rsid w:val="001E655E"/>
    <w:rsid w:val="001F3CB8"/>
    <w:rsid w:val="001F58BF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102"/>
    <w:rsid w:val="00254E2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1F5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685"/>
    <w:rsid w:val="0031741B"/>
    <w:rsid w:val="003174B3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692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DED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E47"/>
    <w:rsid w:val="003A654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E19"/>
    <w:rsid w:val="003C36FD"/>
    <w:rsid w:val="003C664C"/>
    <w:rsid w:val="003D726D"/>
    <w:rsid w:val="003E0875"/>
    <w:rsid w:val="003E0BB8"/>
    <w:rsid w:val="003E6CB0"/>
    <w:rsid w:val="003F1F5E"/>
    <w:rsid w:val="003F286A"/>
    <w:rsid w:val="003F3F5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051"/>
    <w:rsid w:val="00423FBC"/>
    <w:rsid w:val="004241AA"/>
    <w:rsid w:val="0042422E"/>
    <w:rsid w:val="00427905"/>
    <w:rsid w:val="0043190E"/>
    <w:rsid w:val="004324E9"/>
    <w:rsid w:val="004350F3"/>
    <w:rsid w:val="00436980"/>
    <w:rsid w:val="00441016"/>
    <w:rsid w:val="00441F2F"/>
    <w:rsid w:val="0044228B"/>
    <w:rsid w:val="00447018"/>
    <w:rsid w:val="00450340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6E3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D6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97E"/>
    <w:rsid w:val="00555034"/>
    <w:rsid w:val="00556A29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16"/>
    <w:rsid w:val="005878B7"/>
    <w:rsid w:val="00587F8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D3A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FB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AE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6A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FF7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28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0FE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F71"/>
    <w:rsid w:val="008C132C"/>
    <w:rsid w:val="008C3FD0"/>
    <w:rsid w:val="008D1101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AEB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105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E2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A63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3E8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6B2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7D6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696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0EB"/>
    <w:rsid w:val="00B95BC8"/>
    <w:rsid w:val="00B96E87"/>
    <w:rsid w:val="00BA146A"/>
    <w:rsid w:val="00BA32EE"/>
    <w:rsid w:val="00BB5B36"/>
    <w:rsid w:val="00BC027B"/>
    <w:rsid w:val="00BC30A6"/>
    <w:rsid w:val="00BC352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14A"/>
    <w:rsid w:val="00BF4949"/>
    <w:rsid w:val="00BF4D7C"/>
    <w:rsid w:val="00BF5085"/>
    <w:rsid w:val="00C013F4"/>
    <w:rsid w:val="00C040AB"/>
    <w:rsid w:val="00C0499B"/>
    <w:rsid w:val="00C05406"/>
    <w:rsid w:val="00C05CF0"/>
    <w:rsid w:val="00C071E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FFA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ECE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51E"/>
    <w:rsid w:val="00D35728"/>
    <w:rsid w:val="00D359A7"/>
    <w:rsid w:val="00D37BCF"/>
    <w:rsid w:val="00D40F93"/>
    <w:rsid w:val="00D42277"/>
    <w:rsid w:val="00D43C59"/>
    <w:rsid w:val="00D44ADE"/>
    <w:rsid w:val="00D47D5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ACC"/>
    <w:rsid w:val="00D66BA6"/>
    <w:rsid w:val="00D700B1"/>
    <w:rsid w:val="00D730FA"/>
    <w:rsid w:val="00D73FC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D4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5EB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F61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97F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CFB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A70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E5E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A1B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8A1"/>
    <w:rsid w:val="00F85661"/>
    <w:rsid w:val="00F96602"/>
    <w:rsid w:val="00F9735A"/>
    <w:rsid w:val="00FA25D5"/>
    <w:rsid w:val="00FA32FC"/>
    <w:rsid w:val="00FA51D0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C63"/>
    <w:rsid w:val="00FE71FE"/>
    <w:rsid w:val="00FE7D47"/>
    <w:rsid w:val="00FF0A28"/>
    <w:rsid w:val="00FF0B8B"/>
    <w:rsid w:val="00FF0E93"/>
    <w:rsid w:val="00FF13C3"/>
    <w:rsid w:val="00FF1FBB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F842CB-D524-4D03-BBC9-827339A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2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25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5D5"/>
    <w:rPr>
      <w:b/>
      <w:bCs/>
    </w:rPr>
  </w:style>
  <w:style w:type="paragraph" w:styleId="Revision">
    <w:name w:val="Revision"/>
    <w:hidden/>
    <w:uiPriority w:val="99"/>
    <w:semiHidden/>
    <w:rsid w:val="00423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7889</Characters>
  <Application>Microsoft Office Word</Application>
  <DocSecurity>4</DocSecurity>
  <Lines>137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SB01140 (Committee Report (Unamended))</vt:lpstr>
    </vt:vector>
  </TitlesOfParts>
  <Company>State of Texas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30673</dc:subject>
  <dc:creator>State of Texas</dc:creator>
  <dc:description>SB 1140 by Schwertner-(H)Insurance</dc:description>
  <cp:lastModifiedBy>Damian Duarte</cp:lastModifiedBy>
  <cp:revision>2</cp:revision>
  <cp:lastPrinted>2003-11-26T17:21:00Z</cp:lastPrinted>
  <dcterms:created xsi:type="dcterms:W3CDTF">2023-05-16T19:55:00Z</dcterms:created>
  <dcterms:modified xsi:type="dcterms:W3CDTF">2023-05-16T19:55:00Z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23.136.907</vt:lpwstr>
  </property>
</Properties>
</file>