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220F" w:rsidRDefault="00E0220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A4C409ECD404E1793E066F2DD5B1CD5"/>
          </w:placeholder>
        </w:sdtPr>
        <w:sdtContent>
          <w:r w:rsidRPr="005C2A78">
            <w:rPr>
              <w:rFonts w:cs="Times New Roman"/>
              <w:b/>
              <w:szCs w:val="24"/>
              <w:u w:val="single"/>
            </w:rPr>
            <w:t>BILL ANALYSIS</w:t>
          </w:r>
        </w:sdtContent>
      </w:sdt>
    </w:p>
    <w:p w:rsidR="00E0220F" w:rsidRPr="00585C31" w:rsidRDefault="00E0220F" w:rsidP="000F1DF9">
      <w:pPr>
        <w:spacing w:after="0" w:line="240" w:lineRule="auto"/>
        <w:rPr>
          <w:rFonts w:cs="Times New Roman"/>
          <w:szCs w:val="24"/>
        </w:rPr>
      </w:pPr>
    </w:p>
    <w:p w:rsidR="00E0220F" w:rsidRPr="00585C31" w:rsidRDefault="00E0220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0220F" w:rsidTr="000F1DF9">
        <w:tc>
          <w:tcPr>
            <w:tcW w:w="2718" w:type="dxa"/>
          </w:tcPr>
          <w:p w:rsidR="00E0220F" w:rsidRPr="005C2A78" w:rsidRDefault="00E0220F" w:rsidP="006D756B">
            <w:pPr>
              <w:rPr>
                <w:rFonts w:cs="Times New Roman"/>
                <w:szCs w:val="24"/>
              </w:rPr>
            </w:pPr>
            <w:sdt>
              <w:sdtPr>
                <w:rPr>
                  <w:rFonts w:cs="Times New Roman"/>
                  <w:szCs w:val="24"/>
                </w:rPr>
                <w:alias w:val="Agency Title"/>
                <w:tag w:val="AgencyTitleContentControl"/>
                <w:id w:val="1920747753"/>
                <w:lock w:val="sdtContentLocked"/>
                <w:placeholder>
                  <w:docPart w:val="1D5C656834FC4E809129D549DA49A19E"/>
                </w:placeholder>
              </w:sdtPr>
              <w:sdtEndPr>
                <w:rPr>
                  <w:rFonts w:cstheme="minorBidi"/>
                  <w:szCs w:val="22"/>
                </w:rPr>
              </w:sdtEndPr>
              <w:sdtContent>
                <w:r>
                  <w:rPr>
                    <w:rFonts w:cs="Times New Roman"/>
                    <w:szCs w:val="24"/>
                  </w:rPr>
                  <w:t>Senate Research Center</w:t>
                </w:r>
              </w:sdtContent>
            </w:sdt>
          </w:p>
        </w:tc>
        <w:tc>
          <w:tcPr>
            <w:tcW w:w="6858" w:type="dxa"/>
          </w:tcPr>
          <w:p w:rsidR="00E0220F" w:rsidRPr="00FF6471" w:rsidRDefault="00E0220F" w:rsidP="000F1DF9">
            <w:pPr>
              <w:jc w:val="right"/>
              <w:rPr>
                <w:rFonts w:cs="Times New Roman"/>
                <w:szCs w:val="24"/>
              </w:rPr>
            </w:pPr>
            <w:sdt>
              <w:sdtPr>
                <w:rPr>
                  <w:rFonts w:cs="Times New Roman"/>
                  <w:szCs w:val="24"/>
                </w:rPr>
                <w:alias w:val="Bill Number"/>
                <w:tag w:val="BillNumberOne"/>
                <w:id w:val="-410784069"/>
                <w:lock w:val="sdtContentLocked"/>
                <w:placeholder>
                  <w:docPart w:val="24AE5EA3291E46B4824B6AEE585DC17A"/>
                </w:placeholder>
              </w:sdtPr>
              <w:sdtContent>
                <w:r>
                  <w:rPr>
                    <w:rFonts w:cs="Times New Roman"/>
                    <w:szCs w:val="24"/>
                  </w:rPr>
                  <w:t>S.B. 1158</w:t>
                </w:r>
              </w:sdtContent>
            </w:sdt>
          </w:p>
        </w:tc>
      </w:tr>
      <w:tr w:rsidR="00E0220F" w:rsidTr="000F1DF9">
        <w:sdt>
          <w:sdtPr>
            <w:rPr>
              <w:rFonts w:cs="Times New Roman"/>
              <w:szCs w:val="24"/>
            </w:rPr>
            <w:alias w:val="TLCNumber"/>
            <w:tag w:val="TLCNumber"/>
            <w:id w:val="-542600604"/>
            <w:lock w:val="sdtLocked"/>
            <w:placeholder>
              <w:docPart w:val="7F9345055750413FA47CF51B81543C7A"/>
            </w:placeholder>
            <w:showingPlcHdr/>
          </w:sdtPr>
          <w:sdtContent>
            <w:tc>
              <w:tcPr>
                <w:tcW w:w="2718" w:type="dxa"/>
              </w:tcPr>
              <w:p w:rsidR="00E0220F" w:rsidRPr="000F1DF9" w:rsidRDefault="00E0220F" w:rsidP="00C65088">
                <w:pPr>
                  <w:rPr>
                    <w:rFonts w:cs="Times New Roman"/>
                    <w:szCs w:val="24"/>
                  </w:rPr>
                </w:pPr>
              </w:p>
            </w:tc>
          </w:sdtContent>
        </w:sdt>
        <w:tc>
          <w:tcPr>
            <w:tcW w:w="6858" w:type="dxa"/>
          </w:tcPr>
          <w:p w:rsidR="00E0220F" w:rsidRPr="005C2A78" w:rsidRDefault="00E0220F" w:rsidP="00073EDD">
            <w:pPr>
              <w:jc w:val="right"/>
              <w:rPr>
                <w:rFonts w:cs="Times New Roman"/>
                <w:szCs w:val="24"/>
              </w:rPr>
            </w:pPr>
            <w:sdt>
              <w:sdtPr>
                <w:rPr>
                  <w:rFonts w:cs="Times New Roman"/>
                  <w:szCs w:val="24"/>
                </w:rPr>
                <w:alias w:val="Author Label"/>
                <w:tag w:val="By"/>
                <w:id w:val="72399597"/>
                <w:lock w:val="sdtLocked"/>
                <w:placeholder>
                  <w:docPart w:val="90FE1D734B5646A5A97B87AA4E2C6F1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F63DD30596F42D197B8772F239E0838"/>
                </w:placeholder>
              </w:sdtPr>
              <w:sdtContent>
                <w:r>
                  <w:rPr>
                    <w:rFonts w:cs="Times New Roman"/>
                    <w:szCs w:val="24"/>
                  </w:rPr>
                  <w:t>Whitmire</w:t>
                </w:r>
              </w:sdtContent>
            </w:sdt>
            <w:sdt>
              <w:sdtPr>
                <w:rPr>
                  <w:rFonts w:cs="Times New Roman"/>
                  <w:szCs w:val="24"/>
                </w:rPr>
                <w:alias w:val="Sponsor"/>
                <w:tag w:val="Sponsor"/>
                <w:id w:val="-2039656131"/>
                <w:lock w:val="sdtContentLocked"/>
                <w:placeholder>
                  <w:docPart w:val="B015F25D07904F938EA61C83480EEBFF"/>
                </w:placeholder>
                <w:showingPlcHdr/>
              </w:sdtPr>
              <w:sdtContent/>
            </w:sdt>
            <w:sdt>
              <w:sdtPr>
                <w:rPr>
                  <w:rFonts w:cs="Times New Roman"/>
                  <w:szCs w:val="24"/>
                </w:rPr>
                <w:alias w:val="DualSponsor"/>
                <w:tag w:val="DualSponsor"/>
                <w:id w:val="1029379812"/>
                <w:lock w:val="sdtContentLocked"/>
                <w:placeholder>
                  <w:docPart w:val="093EAB89F4F04E0AAD58A82120B42948"/>
                </w:placeholder>
                <w:showingPlcHdr/>
              </w:sdtPr>
              <w:sdtContent/>
            </w:sdt>
          </w:p>
        </w:tc>
      </w:tr>
      <w:tr w:rsidR="00E0220F" w:rsidTr="000F1DF9">
        <w:tc>
          <w:tcPr>
            <w:tcW w:w="2718" w:type="dxa"/>
          </w:tcPr>
          <w:p w:rsidR="00E0220F" w:rsidRPr="00BC7495" w:rsidRDefault="00E0220F" w:rsidP="000F1DF9">
            <w:pPr>
              <w:rPr>
                <w:rFonts w:cs="Times New Roman"/>
                <w:szCs w:val="24"/>
              </w:rPr>
            </w:pPr>
          </w:p>
        </w:tc>
        <w:sdt>
          <w:sdtPr>
            <w:rPr>
              <w:rFonts w:cs="Times New Roman"/>
              <w:szCs w:val="24"/>
            </w:rPr>
            <w:alias w:val="Committee"/>
            <w:tag w:val="Committee"/>
            <w:id w:val="1914272295"/>
            <w:lock w:val="sdtContentLocked"/>
            <w:placeholder>
              <w:docPart w:val="ABBE2DD93B1C4EEE8E05E8559EC66F43"/>
            </w:placeholder>
          </w:sdtPr>
          <w:sdtContent>
            <w:tc>
              <w:tcPr>
                <w:tcW w:w="6858" w:type="dxa"/>
              </w:tcPr>
              <w:p w:rsidR="00E0220F" w:rsidRPr="00FF6471" w:rsidRDefault="00E0220F" w:rsidP="000F1DF9">
                <w:pPr>
                  <w:jc w:val="right"/>
                  <w:rPr>
                    <w:rFonts w:cs="Times New Roman"/>
                    <w:szCs w:val="24"/>
                  </w:rPr>
                </w:pPr>
                <w:r>
                  <w:rPr>
                    <w:rFonts w:cs="Times New Roman"/>
                    <w:szCs w:val="24"/>
                  </w:rPr>
                  <w:t>Natural Resources &amp; Economic Development</w:t>
                </w:r>
              </w:p>
            </w:tc>
          </w:sdtContent>
        </w:sdt>
      </w:tr>
      <w:tr w:rsidR="00E0220F" w:rsidTr="000F1DF9">
        <w:tc>
          <w:tcPr>
            <w:tcW w:w="2718" w:type="dxa"/>
          </w:tcPr>
          <w:p w:rsidR="00E0220F" w:rsidRPr="00BC7495" w:rsidRDefault="00E0220F" w:rsidP="000F1DF9">
            <w:pPr>
              <w:rPr>
                <w:rFonts w:cs="Times New Roman"/>
                <w:szCs w:val="24"/>
              </w:rPr>
            </w:pPr>
          </w:p>
        </w:tc>
        <w:sdt>
          <w:sdtPr>
            <w:rPr>
              <w:rFonts w:cs="Times New Roman"/>
              <w:szCs w:val="24"/>
            </w:rPr>
            <w:alias w:val="Date"/>
            <w:tag w:val="DateContentControl"/>
            <w:id w:val="1178081906"/>
            <w:lock w:val="sdtLocked"/>
            <w:placeholder>
              <w:docPart w:val="450652B2BEE341AF9BA941D42FBE1ABB"/>
            </w:placeholder>
            <w:date w:fullDate="2023-05-23T00:00:00Z">
              <w:dateFormat w:val="M/d/yyyy"/>
              <w:lid w:val="en-US"/>
              <w:storeMappedDataAs w:val="dateTime"/>
              <w:calendar w:val="gregorian"/>
            </w:date>
          </w:sdtPr>
          <w:sdtContent>
            <w:tc>
              <w:tcPr>
                <w:tcW w:w="6858" w:type="dxa"/>
              </w:tcPr>
              <w:p w:rsidR="00E0220F" w:rsidRPr="00FF6471" w:rsidRDefault="00E0220F" w:rsidP="000F1DF9">
                <w:pPr>
                  <w:jc w:val="right"/>
                  <w:rPr>
                    <w:rFonts w:cs="Times New Roman"/>
                    <w:szCs w:val="24"/>
                  </w:rPr>
                </w:pPr>
                <w:r>
                  <w:rPr>
                    <w:rFonts w:cs="Times New Roman"/>
                    <w:szCs w:val="24"/>
                  </w:rPr>
                  <w:t>5/23/2023</w:t>
                </w:r>
              </w:p>
            </w:tc>
          </w:sdtContent>
        </w:sdt>
      </w:tr>
      <w:tr w:rsidR="00E0220F" w:rsidTr="000F1DF9">
        <w:tc>
          <w:tcPr>
            <w:tcW w:w="2718" w:type="dxa"/>
          </w:tcPr>
          <w:p w:rsidR="00E0220F" w:rsidRPr="00BC7495" w:rsidRDefault="00E0220F" w:rsidP="000F1DF9">
            <w:pPr>
              <w:rPr>
                <w:rFonts w:cs="Times New Roman"/>
                <w:szCs w:val="24"/>
              </w:rPr>
            </w:pPr>
          </w:p>
        </w:tc>
        <w:sdt>
          <w:sdtPr>
            <w:rPr>
              <w:rFonts w:cs="Times New Roman"/>
              <w:szCs w:val="24"/>
            </w:rPr>
            <w:alias w:val="BA Version"/>
            <w:tag w:val="BAVersion"/>
            <w:id w:val="-1685590809"/>
            <w:lock w:val="sdtContentLocked"/>
            <w:placeholder>
              <w:docPart w:val="B2AC362C74D142FE95CE097F2B12A3F8"/>
            </w:placeholder>
          </w:sdtPr>
          <w:sdtContent>
            <w:tc>
              <w:tcPr>
                <w:tcW w:w="6858" w:type="dxa"/>
              </w:tcPr>
              <w:p w:rsidR="00E0220F" w:rsidRPr="00FF6471" w:rsidRDefault="00E0220F" w:rsidP="000F1DF9">
                <w:pPr>
                  <w:jc w:val="right"/>
                  <w:rPr>
                    <w:rFonts w:cs="Times New Roman"/>
                    <w:szCs w:val="24"/>
                  </w:rPr>
                </w:pPr>
                <w:r>
                  <w:rPr>
                    <w:rFonts w:cs="Times New Roman"/>
                    <w:szCs w:val="24"/>
                  </w:rPr>
                  <w:t>Enrolled</w:t>
                </w:r>
              </w:p>
            </w:tc>
          </w:sdtContent>
        </w:sdt>
      </w:tr>
    </w:tbl>
    <w:p w:rsidR="00E0220F" w:rsidRPr="00FF6471" w:rsidRDefault="00E0220F" w:rsidP="000F1DF9">
      <w:pPr>
        <w:spacing w:after="0" w:line="240" w:lineRule="auto"/>
        <w:rPr>
          <w:rFonts w:cs="Times New Roman"/>
          <w:szCs w:val="24"/>
        </w:rPr>
      </w:pPr>
    </w:p>
    <w:p w:rsidR="00E0220F" w:rsidRPr="00FF6471" w:rsidRDefault="00E0220F" w:rsidP="000F1DF9">
      <w:pPr>
        <w:spacing w:after="0" w:line="240" w:lineRule="auto"/>
        <w:rPr>
          <w:rFonts w:cs="Times New Roman"/>
          <w:szCs w:val="24"/>
        </w:rPr>
      </w:pPr>
    </w:p>
    <w:p w:rsidR="00E0220F" w:rsidRPr="00FF6471" w:rsidRDefault="00E0220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07C2176E13643CE9F97E5C04B7F797C"/>
        </w:placeholder>
      </w:sdtPr>
      <w:sdtContent>
        <w:p w:rsidR="00E0220F" w:rsidRDefault="00E0220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C94168BC988439BBA9ED11D9A31F628"/>
        </w:placeholder>
      </w:sdtPr>
      <w:sdtContent>
        <w:p w:rsidR="00E0220F" w:rsidRDefault="00E0220F" w:rsidP="002F7BFB">
          <w:pPr>
            <w:pStyle w:val="NormalWeb"/>
            <w:spacing w:before="0" w:beforeAutospacing="0" w:after="0" w:afterAutospacing="0"/>
            <w:jc w:val="both"/>
            <w:divId w:val="1012385"/>
            <w:rPr>
              <w:rFonts w:eastAsia="Times New Roman"/>
              <w:bCs/>
            </w:rPr>
          </w:pPr>
        </w:p>
        <w:p w:rsidR="00E0220F" w:rsidRPr="002F7BFB" w:rsidRDefault="00E0220F" w:rsidP="002F7BFB">
          <w:pPr>
            <w:pStyle w:val="NormalWeb"/>
            <w:spacing w:before="0" w:beforeAutospacing="0" w:after="0" w:afterAutospacing="0"/>
            <w:jc w:val="both"/>
            <w:divId w:val="1012385"/>
          </w:pPr>
          <w:r w:rsidRPr="002F7BFB">
            <w:t>In 2003, the Other Events Trust Fund was created as a way to help communities offset the direct expense of hosting a major event. The fund was later renamed the Major Events Reimbursement Program (MERP).</w:t>
          </w:r>
        </w:p>
        <w:p w:rsidR="00E0220F" w:rsidRPr="002F7BFB" w:rsidRDefault="00E0220F" w:rsidP="002F7BFB">
          <w:pPr>
            <w:pStyle w:val="NormalWeb"/>
            <w:spacing w:before="0" w:beforeAutospacing="0" w:after="0" w:afterAutospacing="0"/>
            <w:jc w:val="both"/>
            <w:divId w:val="1012385"/>
          </w:pPr>
          <w:r w:rsidRPr="002F7BFB">
            <w:t> </w:t>
          </w:r>
        </w:p>
        <w:p w:rsidR="00E0220F" w:rsidRPr="002F7BFB" w:rsidRDefault="00E0220F" w:rsidP="002F7BFB">
          <w:pPr>
            <w:pStyle w:val="NormalWeb"/>
            <w:spacing w:before="0" w:beforeAutospacing="0" w:after="0" w:afterAutospacing="0"/>
            <w:jc w:val="both"/>
            <w:divId w:val="1012385"/>
          </w:pPr>
          <w:r w:rsidRPr="002F7BFB">
            <w:t>After an event, and after the state accepts a prepared economic impact analysis, a portion of taxes from one or more sources can be sent back to the local community to cover related eligible expenses, such as infrastructure investments and enhanced event security. Through this reimbursement system, local communities are better able to compete with other states to host national and international events that in turn help generate local and state revenue, create jobs, and that promote the overall state economy.</w:t>
          </w:r>
        </w:p>
        <w:p w:rsidR="00E0220F" w:rsidRPr="002F7BFB" w:rsidRDefault="00E0220F" w:rsidP="002F7BFB">
          <w:pPr>
            <w:pStyle w:val="NormalWeb"/>
            <w:spacing w:before="0" w:beforeAutospacing="0" w:after="0" w:afterAutospacing="0"/>
            <w:jc w:val="both"/>
            <w:divId w:val="1012385"/>
          </w:pPr>
          <w:r w:rsidRPr="002F7BFB">
            <w:t> </w:t>
          </w:r>
        </w:p>
        <w:p w:rsidR="00E0220F" w:rsidRPr="002F7BFB" w:rsidRDefault="00E0220F" w:rsidP="002F7BFB">
          <w:pPr>
            <w:pStyle w:val="NormalWeb"/>
            <w:spacing w:before="0" w:beforeAutospacing="0" w:after="0" w:afterAutospacing="0"/>
            <w:jc w:val="both"/>
            <w:divId w:val="1012385"/>
          </w:pPr>
          <w:r w:rsidRPr="002F7BFB">
            <w:t>Texas has the good fortune of having two cities (Dallas and Houston) that will host soccer matches for the 2026 Men's World Cup tournament. However, when the World Cup was previously added to the list of eligible events under MERP it was not written in a manner that would clarify how a MERP application would be processed wherein multiple cities would host soccer matches during the same tournament.</w:t>
          </w:r>
        </w:p>
        <w:p w:rsidR="00E0220F" w:rsidRPr="002F7BFB" w:rsidRDefault="00E0220F" w:rsidP="002F7BFB">
          <w:pPr>
            <w:pStyle w:val="NormalWeb"/>
            <w:spacing w:before="0" w:beforeAutospacing="0" w:after="0" w:afterAutospacing="0"/>
            <w:jc w:val="both"/>
            <w:divId w:val="1012385"/>
          </w:pPr>
          <w:r w:rsidRPr="002F7BFB">
            <w:t> </w:t>
          </w:r>
        </w:p>
        <w:p w:rsidR="00E0220F" w:rsidRPr="002F7BFB" w:rsidRDefault="00E0220F" w:rsidP="002F7BFB">
          <w:pPr>
            <w:pStyle w:val="NormalWeb"/>
            <w:spacing w:before="0" w:beforeAutospacing="0" w:after="0" w:afterAutospacing="0"/>
            <w:jc w:val="both"/>
            <w:divId w:val="1012385"/>
          </w:pPr>
          <w:r w:rsidRPr="002F7BFB">
            <w:t>To ensure that sports tourism continues to be a major driver of positive economic impact for the state, it is necessary to clarify in statute that there can be more than one entity that can apply for reimbursement after hosting World Cup matches that are part of one tournament. The language would be similar to current law that allows MERP applications from multiple cities that host presidential debates that are part of a series of presidential debates before a general election.</w:t>
          </w:r>
        </w:p>
        <w:p w:rsidR="00E0220F" w:rsidRPr="002F7BFB" w:rsidRDefault="00E0220F" w:rsidP="002F7BFB">
          <w:pPr>
            <w:pStyle w:val="NormalWeb"/>
            <w:spacing w:before="0" w:beforeAutospacing="0" w:after="0" w:afterAutospacing="0"/>
            <w:jc w:val="both"/>
            <w:divId w:val="1012385"/>
          </w:pPr>
          <w:r w:rsidRPr="002F7BFB">
            <w:t> </w:t>
          </w:r>
        </w:p>
        <w:p w:rsidR="00E0220F" w:rsidRPr="002F7BFB" w:rsidRDefault="00E0220F" w:rsidP="002F7BFB">
          <w:pPr>
            <w:pStyle w:val="NormalWeb"/>
            <w:spacing w:before="0" w:beforeAutospacing="0" w:after="0" w:afterAutospacing="0"/>
            <w:jc w:val="both"/>
            <w:divId w:val="1012385"/>
          </w:pPr>
          <w:r w:rsidRPr="002F7BFB">
            <w:t>S.B. 1158 would clarify in statute that each series of World Cup soccer tournament games held in a market area would be considered as a separate, single event from a series held in another market area.</w:t>
          </w:r>
        </w:p>
        <w:p w:rsidR="00E0220F" w:rsidRPr="00D70925" w:rsidRDefault="00E0220F" w:rsidP="002F7BFB">
          <w:pPr>
            <w:spacing w:after="0" w:line="240" w:lineRule="auto"/>
            <w:jc w:val="both"/>
            <w:rPr>
              <w:rFonts w:eastAsia="Times New Roman" w:cs="Times New Roman"/>
              <w:bCs/>
              <w:szCs w:val="24"/>
            </w:rPr>
          </w:pPr>
        </w:p>
      </w:sdtContent>
    </w:sdt>
    <w:p w:rsidR="00E0220F" w:rsidRDefault="00E0220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1158 </w:t>
      </w:r>
      <w:bookmarkStart w:id="1" w:name="AmendsCurrentLaw"/>
      <w:bookmarkEnd w:id="1"/>
      <w:r>
        <w:rPr>
          <w:rFonts w:cs="Times New Roman"/>
          <w:szCs w:val="24"/>
        </w:rPr>
        <w:t>amends current law relating to single event classification for eligibility under the major events reimbursement program.</w:t>
      </w:r>
    </w:p>
    <w:p w:rsidR="00E0220F" w:rsidRPr="002F7BFB" w:rsidRDefault="00E0220F" w:rsidP="000F1DF9">
      <w:pPr>
        <w:spacing w:after="0" w:line="240" w:lineRule="auto"/>
        <w:jc w:val="both"/>
        <w:rPr>
          <w:rFonts w:eastAsia="Times New Roman" w:cs="Times New Roman"/>
          <w:szCs w:val="24"/>
        </w:rPr>
      </w:pPr>
    </w:p>
    <w:p w:rsidR="00E0220F" w:rsidRPr="005C2A78" w:rsidRDefault="00E0220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1C00987EF6F408981DA57FA84105DFA"/>
          </w:placeholder>
        </w:sdtPr>
        <w:sdtContent>
          <w:r>
            <w:rPr>
              <w:rFonts w:eastAsia="Times New Roman" w:cs="Times New Roman"/>
              <w:b/>
              <w:szCs w:val="24"/>
              <w:u w:val="single"/>
            </w:rPr>
            <w:t>RULEMAKING AUTHORITY</w:t>
          </w:r>
        </w:sdtContent>
      </w:sdt>
    </w:p>
    <w:p w:rsidR="00E0220F" w:rsidRPr="006529C4" w:rsidRDefault="00E0220F" w:rsidP="00774EC7">
      <w:pPr>
        <w:spacing w:after="0" w:line="240" w:lineRule="auto"/>
        <w:jc w:val="both"/>
        <w:rPr>
          <w:rFonts w:cs="Times New Roman"/>
          <w:szCs w:val="24"/>
        </w:rPr>
      </w:pPr>
    </w:p>
    <w:p w:rsidR="00E0220F" w:rsidRPr="006529C4" w:rsidRDefault="00E0220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0220F" w:rsidRPr="006529C4" w:rsidRDefault="00E0220F" w:rsidP="00774EC7">
      <w:pPr>
        <w:spacing w:after="0" w:line="240" w:lineRule="auto"/>
        <w:jc w:val="both"/>
        <w:rPr>
          <w:rFonts w:cs="Times New Roman"/>
          <w:szCs w:val="24"/>
        </w:rPr>
      </w:pPr>
    </w:p>
    <w:p w:rsidR="00E0220F" w:rsidRPr="005C2A78" w:rsidRDefault="00E0220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9677E5744AC432CA20EFB6662C10A11"/>
          </w:placeholder>
        </w:sdtPr>
        <w:sdtContent>
          <w:r>
            <w:rPr>
              <w:rFonts w:eastAsia="Times New Roman" w:cs="Times New Roman"/>
              <w:b/>
              <w:szCs w:val="24"/>
              <w:u w:val="single"/>
            </w:rPr>
            <w:t>SECTION BY SECTION ANALYSIS</w:t>
          </w:r>
        </w:sdtContent>
      </w:sdt>
    </w:p>
    <w:p w:rsidR="00E0220F" w:rsidRPr="005C2A78" w:rsidRDefault="00E0220F" w:rsidP="000F1DF9">
      <w:pPr>
        <w:spacing w:after="0" w:line="240" w:lineRule="auto"/>
        <w:jc w:val="both"/>
        <w:rPr>
          <w:rFonts w:eastAsia="Times New Roman" w:cs="Times New Roman"/>
          <w:szCs w:val="24"/>
        </w:rPr>
      </w:pPr>
    </w:p>
    <w:p w:rsidR="00E0220F" w:rsidRDefault="00E0220F" w:rsidP="00223C3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478.0052, Government Code, as follows:</w:t>
      </w:r>
    </w:p>
    <w:p w:rsidR="00E0220F" w:rsidRDefault="00E0220F" w:rsidP="00223C3C">
      <w:pPr>
        <w:spacing w:after="0" w:line="240" w:lineRule="auto"/>
        <w:jc w:val="both"/>
        <w:rPr>
          <w:rFonts w:eastAsia="Times New Roman" w:cs="Times New Roman"/>
          <w:szCs w:val="24"/>
        </w:rPr>
      </w:pPr>
    </w:p>
    <w:p w:rsidR="00E0220F" w:rsidRDefault="00E0220F" w:rsidP="00223C3C">
      <w:pPr>
        <w:spacing w:after="0" w:line="240" w:lineRule="auto"/>
        <w:ind w:left="720"/>
        <w:jc w:val="both"/>
        <w:rPr>
          <w:rFonts w:eastAsia="Times New Roman" w:cs="Times New Roman"/>
          <w:szCs w:val="24"/>
        </w:rPr>
      </w:pPr>
      <w:r>
        <w:rPr>
          <w:rFonts w:eastAsia="Times New Roman" w:cs="Times New Roman"/>
          <w:szCs w:val="24"/>
        </w:rPr>
        <w:t xml:space="preserve">Sec. 478.0052. SINGLE EVENT CLASSIFICATION FOR ELIGIBILITY PURPOSES. Provides that for the purposes of Section 478.0051 (Events Eligible for Funding): </w:t>
      </w:r>
    </w:p>
    <w:p w:rsidR="00E0220F" w:rsidRDefault="00E0220F" w:rsidP="00223C3C">
      <w:pPr>
        <w:spacing w:after="0" w:line="240" w:lineRule="auto"/>
        <w:ind w:left="720"/>
        <w:jc w:val="both"/>
        <w:rPr>
          <w:rFonts w:eastAsia="Times New Roman" w:cs="Times New Roman"/>
          <w:szCs w:val="24"/>
        </w:rPr>
      </w:pPr>
    </w:p>
    <w:p w:rsidR="00E0220F" w:rsidRDefault="00E0220F" w:rsidP="00223C3C">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nonsubstantive changes; and</w:t>
      </w:r>
    </w:p>
    <w:p w:rsidR="00E0220F" w:rsidRDefault="00E0220F" w:rsidP="00223C3C">
      <w:pPr>
        <w:spacing w:after="0" w:line="240" w:lineRule="auto"/>
        <w:ind w:left="1440"/>
        <w:jc w:val="both"/>
        <w:rPr>
          <w:rFonts w:eastAsia="Times New Roman" w:cs="Times New Roman"/>
          <w:szCs w:val="24"/>
        </w:rPr>
      </w:pPr>
    </w:p>
    <w:p w:rsidR="00E0220F" w:rsidRPr="005C2A78" w:rsidRDefault="00E0220F" w:rsidP="00223C3C">
      <w:pPr>
        <w:spacing w:after="0" w:line="240" w:lineRule="auto"/>
        <w:ind w:left="1440"/>
        <w:jc w:val="both"/>
        <w:rPr>
          <w:rFonts w:eastAsia="Times New Roman" w:cs="Times New Roman"/>
          <w:szCs w:val="24"/>
        </w:rPr>
      </w:pPr>
      <w:r>
        <w:rPr>
          <w:rFonts w:eastAsia="Times New Roman" w:cs="Times New Roman"/>
          <w:szCs w:val="24"/>
        </w:rPr>
        <w:t xml:space="preserve">(2) each series of the games for the World Cup soccer tournament held in a market area designated for that series is considered a separate, single event. </w:t>
      </w:r>
    </w:p>
    <w:p w:rsidR="00E0220F" w:rsidRPr="005C2A78" w:rsidRDefault="00E0220F" w:rsidP="00223C3C">
      <w:pPr>
        <w:spacing w:after="0" w:line="240" w:lineRule="auto"/>
        <w:jc w:val="both"/>
        <w:rPr>
          <w:rFonts w:eastAsia="Times New Roman" w:cs="Times New Roman"/>
          <w:szCs w:val="24"/>
        </w:rPr>
      </w:pPr>
    </w:p>
    <w:p w:rsidR="00E0220F" w:rsidRPr="00C8671F" w:rsidRDefault="00E0220F" w:rsidP="00223C3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E0220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4B08" w:rsidRDefault="00324B08" w:rsidP="000F1DF9">
      <w:pPr>
        <w:spacing w:after="0" w:line="240" w:lineRule="auto"/>
      </w:pPr>
      <w:r>
        <w:separator/>
      </w:r>
    </w:p>
  </w:endnote>
  <w:endnote w:type="continuationSeparator" w:id="0">
    <w:p w:rsidR="00324B08" w:rsidRDefault="00324B0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24B0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0220F">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0220F">
                <w:rPr>
                  <w:sz w:val="20"/>
                  <w:szCs w:val="20"/>
                </w:rPr>
                <w:t>S.B. 1158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0220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24B0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4B08" w:rsidRDefault="00324B08" w:rsidP="000F1DF9">
      <w:pPr>
        <w:spacing w:after="0" w:line="240" w:lineRule="auto"/>
      </w:pPr>
      <w:r>
        <w:separator/>
      </w:r>
    </w:p>
  </w:footnote>
  <w:footnote w:type="continuationSeparator" w:id="0">
    <w:p w:rsidR="00324B08" w:rsidRDefault="00324B0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24B08"/>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220F"/>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86094"/>
  <w15:docId w15:val="{06162735-D3FB-4BA5-8FFB-5D03E31A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0220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A4C409ECD404E1793E066F2DD5B1CD5"/>
        <w:category>
          <w:name w:val="General"/>
          <w:gallery w:val="placeholder"/>
        </w:category>
        <w:types>
          <w:type w:val="bbPlcHdr"/>
        </w:types>
        <w:behaviors>
          <w:behavior w:val="content"/>
        </w:behaviors>
        <w:guid w:val="{5E469BBF-73D4-4E15-B893-0F0724EA2652}"/>
      </w:docPartPr>
      <w:docPartBody>
        <w:p w:rsidR="00000000" w:rsidRDefault="007A65CF"/>
      </w:docPartBody>
    </w:docPart>
    <w:docPart>
      <w:docPartPr>
        <w:name w:val="1D5C656834FC4E809129D549DA49A19E"/>
        <w:category>
          <w:name w:val="General"/>
          <w:gallery w:val="placeholder"/>
        </w:category>
        <w:types>
          <w:type w:val="bbPlcHdr"/>
        </w:types>
        <w:behaviors>
          <w:behavior w:val="content"/>
        </w:behaviors>
        <w:guid w:val="{0600168D-64B4-4619-8FA5-C28124B9D2A5}"/>
      </w:docPartPr>
      <w:docPartBody>
        <w:p w:rsidR="00000000" w:rsidRDefault="007A65CF"/>
      </w:docPartBody>
    </w:docPart>
    <w:docPart>
      <w:docPartPr>
        <w:name w:val="24AE5EA3291E46B4824B6AEE585DC17A"/>
        <w:category>
          <w:name w:val="General"/>
          <w:gallery w:val="placeholder"/>
        </w:category>
        <w:types>
          <w:type w:val="bbPlcHdr"/>
        </w:types>
        <w:behaviors>
          <w:behavior w:val="content"/>
        </w:behaviors>
        <w:guid w:val="{5D27BFCF-826D-4B6D-B73B-DBD37B0E7B3C}"/>
      </w:docPartPr>
      <w:docPartBody>
        <w:p w:rsidR="00000000" w:rsidRDefault="007A65CF"/>
      </w:docPartBody>
    </w:docPart>
    <w:docPart>
      <w:docPartPr>
        <w:name w:val="7F9345055750413FA47CF51B81543C7A"/>
        <w:category>
          <w:name w:val="General"/>
          <w:gallery w:val="placeholder"/>
        </w:category>
        <w:types>
          <w:type w:val="bbPlcHdr"/>
        </w:types>
        <w:behaviors>
          <w:behavior w:val="content"/>
        </w:behaviors>
        <w:guid w:val="{2D13D00E-8A75-41D2-9746-C6CF4AF8C5A8}"/>
      </w:docPartPr>
      <w:docPartBody>
        <w:p w:rsidR="00000000" w:rsidRDefault="007A65CF"/>
      </w:docPartBody>
    </w:docPart>
    <w:docPart>
      <w:docPartPr>
        <w:name w:val="90FE1D734B5646A5A97B87AA4E2C6F13"/>
        <w:category>
          <w:name w:val="General"/>
          <w:gallery w:val="placeholder"/>
        </w:category>
        <w:types>
          <w:type w:val="bbPlcHdr"/>
        </w:types>
        <w:behaviors>
          <w:behavior w:val="content"/>
        </w:behaviors>
        <w:guid w:val="{D59D12EE-64A7-438E-84B9-705317FC88A9}"/>
      </w:docPartPr>
      <w:docPartBody>
        <w:p w:rsidR="00000000" w:rsidRDefault="007A65CF"/>
      </w:docPartBody>
    </w:docPart>
    <w:docPart>
      <w:docPartPr>
        <w:name w:val="BF63DD30596F42D197B8772F239E0838"/>
        <w:category>
          <w:name w:val="General"/>
          <w:gallery w:val="placeholder"/>
        </w:category>
        <w:types>
          <w:type w:val="bbPlcHdr"/>
        </w:types>
        <w:behaviors>
          <w:behavior w:val="content"/>
        </w:behaviors>
        <w:guid w:val="{D16CD2A7-4D0D-4137-B3D7-920FAEAB2104}"/>
      </w:docPartPr>
      <w:docPartBody>
        <w:p w:rsidR="00000000" w:rsidRDefault="007A65CF"/>
      </w:docPartBody>
    </w:docPart>
    <w:docPart>
      <w:docPartPr>
        <w:name w:val="B015F25D07904F938EA61C83480EEBFF"/>
        <w:category>
          <w:name w:val="General"/>
          <w:gallery w:val="placeholder"/>
        </w:category>
        <w:types>
          <w:type w:val="bbPlcHdr"/>
        </w:types>
        <w:behaviors>
          <w:behavior w:val="content"/>
        </w:behaviors>
        <w:guid w:val="{449DA027-D923-443C-B100-B5A7CF8FE0D7}"/>
      </w:docPartPr>
      <w:docPartBody>
        <w:p w:rsidR="00000000" w:rsidRDefault="007A65CF"/>
      </w:docPartBody>
    </w:docPart>
    <w:docPart>
      <w:docPartPr>
        <w:name w:val="093EAB89F4F04E0AAD58A82120B42948"/>
        <w:category>
          <w:name w:val="General"/>
          <w:gallery w:val="placeholder"/>
        </w:category>
        <w:types>
          <w:type w:val="bbPlcHdr"/>
        </w:types>
        <w:behaviors>
          <w:behavior w:val="content"/>
        </w:behaviors>
        <w:guid w:val="{F61F7C92-C32E-4078-95EE-201E3E0D406F}"/>
      </w:docPartPr>
      <w:docPartBody>
        <w:p w:rsidR="00000000" w:rsidRDefault="007A65CF"/>
      </w:docPartBody>
    </w:docPart>
    <w:docPart>
      <w:docPartPr>
        <w:name w:val="ABBE2DD93B1C4EEE8E05E8559EC66F43"/>
        <w:category>
          <w:name w:val="General"/>
          <w:gallery w:val="placeholder"/>
        </w:category>
        <w:types>
          <w:type w:val="bbPlcHdr"/>
        </w:types>
        <w:behaviors>
          <w:behavior w:val="content"/>
        </w:behaviors>
        <w:guid w:val="{1BA919DD-DA2B-42C9-8F80-99632C4D3525}"/>
      </w:docPartPr>
      <w:docPartBody>
        <w:p w:rsidR="00000000" w:rsidRDefault="007A65CF"/>
      </w:docPartBody>
    </w:docPart>
    <w:docPart>
      <w:docPartPr>
        <w:name w:val="450652B2BEE341AF9BA941D42FBE1ABB"/>
        <w:category>
          <w:name w:val="General"/>
          <w:gallery w:val="placeholder"/>
        </w:category>
        <w:types>
          <w:type w:val="bbPlcHdr"/>
        </w:types>
        <w:behaviors>
          <w:behavior w:val="content"/>
        </w:behaviors>
        <w:guid w:val="{EA10726C-C421-4698-9B3C-6B2E89FF1EA8}"/>
      </w:docPartPr>
      <w:docPartBody>
        <w:p w:rsidR="00000000" w:rsidRDefault="008A7C84" w:rsidP="008A7C84">
          <w:pPr>
            <w:pStyle w:val="450652B2BEE341AF9BA941D42FBE1ABB"/>
          </w:pPr>
          <w:r w:rsidRPr="00A30DD1">
            <w:rPr>
              <w:rStyle w:val="PlaceholderText"/>
            </w:rPr>
            <w:t>Click here to enter a date.</w:t>
          </w:r>
        </w:p>
      </w:docPartBody>
    </w:docPart>
    <w:docPart>
      <w:docPartPr>
        <w:name w:val="B2AC362C74D142FE95CE097F2B12A3F8"/>
        <w:category>
          <w:name w:val="General"/>
          <w:gallery w:val="placeholder"/>
        </w:category>
        <w:types>
          <w:type w:val="bbPlcHdr"/>
        </w:types>
        <w:behaviors>
          <w:behavior w:val="content"/>
        </w:behaviors>
        <w:guid w:val="{0CCD1926-EBCE-46F8-A180-CD91D3B52002}"/>
      </w:docPartPr>
      <w:docPartBody>
        <w:p w:rsidR="00000000" w:rsidRDefault="007A65CF"/>
      </w:docPartBody>
    </w:docPart>
    <w:docPart>
      <w:docPartPr>
        <w:name w:val="307C2176E13643CE9F97E5C04B7F797C"/>
        <w:category>
          <w:name w:val="General"/>
          <w:gallery w:val="placeholder"/>
        </w:category>
        <w:types>
          <w:type w:val="bbPlcHdr"/>
        </w:types>
        <w:behaviors>
          <w:behavior w:val="content"/>
        </w:behaviors>
        <w:guid w:val="{094723CD-E934-4AD8-9AC7-9D8EEDEEF84E}"/>
      </w:docPartPr>
      <w:docPartBody>
        <w:p w:rsidR="00000000" w:rsidRDefault="007A65CF"/>
      </w:docPartBody>
    </w:docPart>
    <w:docPart>
      <w:docPartPr>
        <w:name w:val="0C94168BC988439BBA9ED11D9A31F628"/>
        <w:category>
          <w:name w:val="General"/>
          <w:gallery w:val="placeholder"/>
        </w:category>
        <w:types>
          <w:type w:val="bbPlcHdr"/>
        </w:types>
        <w:behaviors>
          <w:behavior w:val="content"/>
        </w:behaviors>
        <w:guid w:val="{4CAB8E11-F5BB-477C-B4DA-D3E26BAE2E93}"/>
      </w:docPartPr>
      <w:docPartBody>
        <w:p w:rsidR="00000000" w:rsidRDefault="008A7C84" w:rsidP="008A7C84">
          <w:pPr>
            <w:pStyle w:val="0C94168BC988439BBA9ED11D9A31F628"/>
          </w:pPr>
          <w:r>
            <w:rPr>
              <w:rFonts w:eastAsia="Times New Roman" w:cs="Times New Roman"/>
              <w:bCs/>
              <w:szCs w:val="24"/>
            </w:rPr>
            <w:t xml:space="preserve"> </w:t>
          </w:r>
        </w:p>
      </w:docPartBody>
    </w:docPart>
    <w:docPart>
      <w:docPartPr>
        <w:name w:val="61C00987EF6F408981DA57FA84105DFA"/>
        <w:category>
          <w:name w:val="General"/>
          <w:gallery w:val="placeholder"/>
        </w:category>
        <w:types>
          <w:type w:val="bbPlcHdr"/>
        </w:types>
        <w:behaviors>
          <w:behavior w:val="content"/>
        </w:behaviors>
        <w:guid w:val="{F7424149-E5F8-4CC2-BC3D-16FB2C08716F}"/>
      </w:docPartPr>
      <w:docPartBody>
        <w:p w:rsidR="00000000" w:rsidRDefault="007A65CF"/>
      </w:docPartBody>
    </w:docPart>
    <w:docPart>
      <w:docPartPr>
        <w:name w:val="79677E5744AC432CA20EFB6662C10A11"/>
        <w:category>
          <w:name w:val="General"/>
          <w:gallery w:val="placeholder"/>
        </w:category>
        <w:types>
          <w:type w:val="bbPlcHdr"/>
        </w:types>
        <w:behaviors>
          <w:behavior w:val="content"/>
        </w:behaviors>
        <w:guid w:val="{7960F070-6D4F-4D4A-B47A-65B488256A11}"/>
      </w:docPartPr>
      <w:docPartBody>
        <w:p w:rsidR="00000000" w:rsidRDefault="007A65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65CF"/>
    <w:rsid w:val="008A7C8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C84"/>
    <w:rPr>
      <w:color w:val="808080"/>
    </w:rPr>
  </w:style>
  <w:style w:type="paragraph" w:customStyle="1" w:styleId="450652B2BEE341AF9BA941D42FBE1ABB">
    <w:name w:val="450652B2BEE341AF9BA941D42FBE1ABB"/>
    <w:rsid w:val="008A7C84"/>
    <w:pPr>
      <w:spacing w:after="160" w:line="259" w:lineRule="auto"/>
    </w:pPr>
  </w:style>
  <w:style w:type="paragraph" w:customStyle="1" w:styleId="0C94168BC988439BBA9ED11D9A31F628">
    <w:name w:val="0C94168BC988439BBA9ED11D9A31F628"/>
    <w:rsid w:val="008A7C8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421</Words>
  <Characters>2405</Characters>
  <Application>Microsoft Office Word</Application>
  <DocSecurity>0</DocSecurity>
  <Lines>20</Lines>
  <Paragraphs>5</Paragraphs>
  <ScaleCrop>false</ScaleCrop>
  <Company>Texas Legislative Council</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2023-05-25T15:50:00Z</dcterms:modified>
</cp:coreProperties>
</file>

<file path=docProps/custom.xml><?xml version="1.0" encoding="utf-8"?>
<op:Properties xmlns:vt="http://schemas.openxmlformats.org/officeDocument/2006/docPropsVTypes" xmlns:op="http://schemas.openxmlformats.org/officeDocument/2006/custom-properties"/>
</file>