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44302" w14:paraId="6CA89076" w14:textId="77777777" w:rsidTr="00345119">
        <w:tc>
          <w:tcPr>
            <w:tcW w:w="9576" w:type="dxa"/>
            <w:noWrap/>
          </w:tcPr>
          <w:p w14:paraId="6C1B4164" w14:textId="77777777" w:rsidR="008423E4" w:rsidRPr="0022177D" w:rsidRDefault="009F728B" w:rsidP="00604A92">
            <w:pPr>
              <w:pStyle w:val="Heading1"/>
            </w:pPr>
            <w:r w:rsidRPr="00631897">
              <w:t>BILL ANALYSIS</w:t>
            </w:r>
          </w:p>
        </w:tc>
      </w:tr>
    </w:tbl>
    <w:p w14:paraId="19BAF7E1" w14:textId="77777777" w:rsidR="008423E4" w:rsidRPr="0022177D" w:rsidRDefault="008423E4" w:rsidP="00604A92">
      <w:pPr>
        <w:jc w:val="center"/>
      </w:pPr>
    </w:p>
    <w:p w14:paraId="34C433B4" w14:textId="77777777" w:rsidR="008423E4" w:rsidRPr="00B31F0E" w:rsidRDefault="008423E4" w:rsidP="00604A92"/>
    <w:p w14:paraId="6600465F" w14:textId="77777777" w:rsidR="008423E4" w:rsidRPr="00742794" w:rsidRDefault="008423E4" w:rsidP="00604A92">
      <w:pPr>
        <w:tabs>
          <w:tab w:val="right" w:pos="9360"/>
        </w:tabs>
      </w:pPr>
    </w:p>
    <w:tbl>
      <w:tblPr>
        <w:tblW w:w="0" w:type="auto"/>
        <w:tblLayout w:type="fixed"/>
        <w:tblLook w:val="01E0" w:firstRow="1" w:lastRow="1" w:firstColumn="1" w:lastColumn="1" w:noHBand="0" w:noVBand="0"/>
      </w:tblPr>
      <w:tblGrid>
        <w:gridCol w:w="9576"/>
      </w:tblGrid>
      <w:tr w:rsidR="00C44302" w14:paraId="00DA572D" w14:textId="77777777" w:rsidTr="00345119">
        <w:tc>
          <w:tcPr>
            <w:tcW w:w="9576" w:type="dxa"/>
          </w:tcPr>
          <w:p w14:paraId="33989D61" w14:textId="55994AD3" w:rsidR="008423E4" w:rsidRPr="00861995" w:rsidRDefault="009F728B" w:rsidP="00604A92">
            <w:pPr>
              <w:jc w:val="right"/>
            </w:pPr>
            <w:r>
              <w:t>S.B. 1158</w:t>
            </w:r>
          </w:p>
        </w:tc>
      </w:tr>
      <w:tr w:rsidR="00C44302" w14:paraId="1B4CC516" w14:textId="77777777" w:rsidTr="00345119">
        <w:tc>
          <w:tcPr>
            <w:tcW w:w="9576" w:type="dxa"/>
          </w:tcPr>
          <w:p w14:paraId="534F1105" w14:textId="680BBF08" w:rsidR="008423E4" w:rsidRPr="00861995" w:rsidRDefault="009F728B" w:rsidP="00604A92">
            <w:pPr>
              <w:jc w:val="right"/>
            </w:pPr>
            <w:r>
              <w:t xml:space="preserve">By: </w:t>
            </w:r>
            <w:r w:rsidR="004457B6">
              <w:t>Whitmire</w:t>
            </w:r>
          </w:p>
        </w:tc>
      </w:tr>
      <w:tr w:rsidR="00C44302" w14:paraId="690FAB4A" w14:textId="77777777" w:rsidTr="00345119">
        <w:tc>
          <w:tcPr>
            <w:tcW w:w="9576" w:type="dxa"/>
          </w:tcPr>
          <w:p w14:paraId="6B319AE1" w14:textId="12EBCAEF" w:rsidR="008423E4" w:rsidRPr="00861995" w:rsidRDefault="009F728B" w:rsidP="00604A92">
            <w:pPr>
              <w:jc w:val="right"/>
            </w:pPr>
            <w:r>
              <w:t>Culture, Recreation &amp; Tourism</w:t>
            </w:r>
          </w:p>
        </w:tc>
      </w:tr>
      <w:tr w:rsidR="00C44302" w14:paraId="245D3A00" w14:textId="77777777" w:rsidTr="00345119">
        <w:tc>
          <w:tcPr>
            <w:tcW w:w="9576" w:type="dxa"/>
          </w:tcPr>
          <w:p w14:paraId="192B11F9" w14:textId="6F3BA1E1" w:rsidR="008423E4" w:rsidRDefault="009F728B" w:rsidP="00604A92">
            <w:pPr>
              <w:jc w:val="right"/>
            </w:pPr>
            <w:r>
              <w:t>Committee Report (Unamended)</w:t>
            </w:r>
          </w:p>
        </w:tc>
      </w:tr>
    </w:tbl>
    <w:p w14:paraId="2786E2D9" w14:textId="77777777" w:rsidR="008423E4" w:rsidRDefault="008423E4" w:rsidP="00604A92">
      <w:pPr>
        <w:tabs>
          <w:tab w:val="right" w:pos="9360"/>
        </w:tabs>
      </w:pPr>
    </w:p>
    <w:p w14:paraId="7CB9784B" w14:textId="77777777" w:rsidR="008423E4" w:rsidRDefault="008423E4" w:rsidP="00604A92"/>
    <w:p w14:paraId="7248D0CD" w14:textId="77777777" w:rsidR="008423E4" w:rsidRDefault="008423E4" w:rsidP="00604A92"/>
    <w:tbl>
      <w:tblPr>
        <w:tblW w:w="0" w:type="auto"/>
        <w:tblCellMar>
          <w:left w:w="115" w:type="dxa"/>
          <w:right w:w="115" w:type="dxa"/>
        </w:tblCellMar>
        <w:tblLook w:val="01E0" w:firstRow="1" w:lastRow="1" w:firstColumn="1" w:lastColumn="1" w:noHBand="0" w:noVBand="0"/>
      </w:tblPr>
      <w:tblGrid>
        <w:gridCol w:w="9360"/>
      </w:tblGrid>
      <w:tr w:rsidR="00C44302" w14:paraId="5E2361BB" w14:textId="77777777" w:rsidTr="00345119">
        <w:tc>
          <w:tcPr>
            <w:tcW w:w="9576" w:type="dxa"/>
          </w:tcPr>
          <w:p w14:paraId="6E7F368A" w14:textId="77777777" w:rsidR="008423E4" w:rsidRPr="00A8133F" w:rsidRDefault="009F728B" w:rsidP="00604A92">
            <w:pPr>
              <w:rPr>
                <w:b/>
              </w:rPr>
            </w:pPr>
            <w:r w:rsidRPr="009C1E9A">
              <w:rPr>
                <w:b/>
                <w:u w:val="single"/>
              </w:rPr>
              <w:t>BACKGROUND AND PURPOSE</w:t>
            </w:r>
            <w:r>
              <w:rPr>
                <w:b/>
              </w:rPr>
              <w:t xml:space="preserve"> </w:t>
            </w:r>
          </w:p>
          <w:p w14:paraId="215C45E5" w14:textId="77777777" w:rsidR="008423E4" w:rsidRDefault="008423E4" w:rsidP="00604A92"/>
          <w:p w14:paraId="094AC59F" w14:textId="6E4F96E8" w:rsidR="00A878B9" w:rsidRDefault="009F728B" w:rsidP="00604A92">
            <w:pPr>
              <w:pStyle w:val="Header"/>
              <w:jc w:val="both"/>
            </w:pPr>
            <w:r>
              <w:t xml:space="preserve">The </w:t>
            </w:r>
            <w:r w:rsidR="00F427BA">
              <w:t>m</w:t>
            </w:r>
            <w:r>
              <w:t xml:space="preserve">ajor </w:t>
            </w:r>
            <w:r w:rsidR="00F427BA">
              <w:t>e</w:t>
            </w:r>
            <w:r>
              <w:t xml:space="preserve">vents </w:t>
            </w:r>
            <w:r w:rsidR="00F427BA">
              <w:t>r</w:t>
            </w:r>
            <w:r>
              <w:t xml:space="preserve">eimbursement </w:t>
            </w:r>
            <w:r w:rsidR="00F427BA">
              <w:t>p</w:t>
            </w:r>
            <w:r>
              <w:t xml:space="preserve">rogram (MERP) is one of three funds </w:t>
            </w:r>
            <w:r w:rsidR="00024F68">
              <w:t xml:space="preserve">constituting </w:t>
            </w:r>
            <w:r>
              <w:t xml:space="preserve">the Event Trust Funds program in the </w:t>
            </w:r>
            <w:r w:rsidR="00024F68">
              <w:t xml:space="preserve">Texas </w:t>
            </w:r>
            <w:r>
              <w:t xml:space="preserve">Economic Development and Tourism Office within the </w:t>
            </w:r>
            <w:r w:rsidR="004C6A1B">
              <w:t>governor's office.</w:t>
            </w:r>
            <w:r>
              <w:t xml:space="preserve"> These funds were created to assist Texas communities by offsetting the direct costs related to preparing for or conducting an event and to furt</w:t>
            </w:r>
            <w:r>
              <w:t>her the state</w:t>
            </w:r>
            <w:r w:rsidR="00D412D0">
              <w:t>'</w:t>
            </w:r>
            <w:r>
              <w:t xml:space="preserve">s mission of marketing Texas as a premier tourist destination. After </w:t>
            </w:r>
            <w:r w:rsidR="004C6A1B">
              <w:t xml:space="preserve">an applicable </w:t>
            </w:r>
            <w:r>
              <w:t xml:space="preserve">event, and after the state accepts a prepared economic impact analysis, a small portion of taxes from the designated market area </w:t>
            </w:r>
            <w:r w:rsidR="004C6A1B">
              <w:t>is</w:t>
            </w:r>
            <w:r>
              <w:t xml:space="preserve"> sent back to the local comm</w:t>
            </w:r>
            <w:r>
              <w:t xml:space="preserve">unity to cover eligible expenses. Texas has the fortune of winning two spots to host matches for the 2026 Men's World Cup. Years ago, when the World Cup was added to the list of eligible events under the MERP, </w:t>
            </w:r>
            <w:r w:rsidR="004D6215">
              <w:t>it was not anticipated that</w:t>
            </w:r>
            <w:r>
              <w:t xml:space="preserve"> more than one city</w:t>
            </w:r>
            <w:r>
              <w:t xml:space="preserve"> in Texas </w:t>
            </w:r>
            <w:r w:rsidR="004D6215">
              <w:t xml:space="preserve">would be </w:t>
            </w:r>
            <w:r>
              <w:t>awarded the ability to host World Cup matches for the same tournament</w:t>
            </w:r>
            <w:r w:rsidR="004C6A1B">
              <w:t>, so c</w:t>
            </w:r>
            <w:r>
              <w:t>urrent statute only allow</w:t>
            </w:r>
            <w:r w:rsidR="004C6A1B">
              <w:t>s</w:t>
            </w:r>
            <w:r>
              <w:t xml:space="preserve"> one endorsing municipality to apply for MERP reimbursement. </w:t>
            </w:r>
            <w:r w:rsidR="00FA17E5">
              <w:t>S.B. 1158</w:t>
            </w:r>
            <w:r w:rsidRPr="00A878B9">
              <w:t xml:space="preserve"> </w:t>
            </w:r>
            <w:r>
              <w:t xml:space="preserve">seeks to address this issue by </w:t>
            </w:r>
            <w:r w:rsidR="00AE06C5">
              <w:t xml:space="preserve">clarifying that </w:t>
            </w:r>
            <w:r w:rsidRPr="00A878B9">
              <w:t xml:space="preserve">each series of </w:t>
            </w:r>
            <w:r w:rsidR="00AE06C5">
              <w:t xml:space="preserve">World Cup </w:t>
            </w:r>
            <w:r w:rsidRPr="00A878B9">
              <w:t>games held in a market area designated for that series is considered a separate, single event</w:t>
            </w:r>
            <w:r w:rsidR="004C6A1B">
              <w:t xml:space="preserve"> for purposes of funding eligibility.</w:t>
            </w:r>
          </w:p>
          <w:p w14:paraId="422D47AC" w14:textId="77777777" w:rsidR="008423E4" w:rsidRPr="00E26B13" w:rsidRDefault="008423E4" w:rsidP="00604A92">
            <w:pPr>
              <w:rPr>
                <w:b/>
              </w:rPr>
            </w:pPr>
          </w:p>
        </w:tc>
      </w:tr>
      <w:tr w:rsidR="00C44302" w14:paraId="593FD0D2" w14:textId="77777777" w:rsidTr="00345119">
        <w:tc>
          <w:tcPr>
            <w:tcW w:w="9576" w:type="dxa"/>
          </w:tcPr>
          <w:p w14:paraId="0E693162" w14:textId="77777777" w:rsidR="0017725B" w:rsidRDefault="009F728B" w:rsidP="00604A92">
            <w:pPr>
              <w:rPr>
                <w:b/>
                <w:u w:val="single"/>
              </w:rPr>
            </w:pPr>
            <w:r>
              <w:rPr>
                <w:b/>
                <w:u w:val="single"/>
              </w:rPr>
              <w:t>CRIMINAL JUSTICE IMPACT</w:t>
            </w:r>
          </w:p>
          <w:p w14:paraId="74982609" w14:textId="77777777" w:rsidR="0017725B" w:rsidRDefault="0017725B" w:rsidP="00604A92">
            <w:pPr>
              <w:rPr>
                <w:b/>
                <w:u w:val="single"/>
              </w:rPr>
            </w:pPr>
          </w:p>
          <w:p w14:paraId="1DA6C3D1" w14:textId="21B2E8B1" w:rsidR="00C1609C" w:rsidRPr="00C1609C" w:rsidRDefault="009F728B" w:rsidP="00604A92">
            <w:pPr>
              <w:jc w:val="both"/>
            </w:pPr>
            <w:r>
              <w:t xml:space="preserve">It is the committee's opinion that this bill does not expressly create a criminal </w:t>
            </w:r>
            <w:r>
              <w:t>offense, increase the punishment for an existing criminal offense or category of offenses, or change the eligibility of a person for community supervision, parole, or mandatory supervision.</w:t>
            </w:r>
          </w:p>
          <w:p w14:paraId="46E1A33A" w14:textId="77777777" w:rsidR="0017725B" w:rsidRPr="0017725B" w:rsidRDefault="0017725B" w:rsidP="00604A92">
            <w:pPr>
              <w:rPr>
                <w:b/>
                <w:u w:val="single"/>
              </w:rPr>
            </w:pPr>
          </w:p>
        </w:tc>
      </w:tr>
      <w:tr w:rsidR="00C44302" w14:paraId="0ED05F23" w14:textId="77777777" w:rsidTr="00345119">
        <w:tc>
          <w:tcPr>
            <w:tcW w:w="9576" w:type="dxa"/>
          </w:tcPr>
          <w:p w14:paraId="003ADF96" w14:textId="77777777" w:rsidR="008423E4" w:rsidRPr="00A8133F" w:rsidRDefault="009F728B" w:rsidP="00604A92">
            <w:pPr>
              <w:rPr>
                <w:b/>
              </w:rPr>
            </w:pPr>
            <w:r w:rsidRPr="009C1E9A">
              <w:rPr>
                <w:b/>
                <w:u w:val="single"/>
              </w:rPr>
              <w:t>RULEMAKING AUTHORITY</w:t>
            </w:r>
            <w:r>
              <w:rPr>
                <w:b/>
              </w:rPr>
              <w:t xml:space="preserve"> </w:t>
            </w:r>
          </w:p>
          <w:p w14:paraId="6DA0220E" w14:textId="77777777" w:rsidR="008423E4" w:rsidRDefault="008423E4" w:rsidP="00604A92"/>
          <w:p w14:paraId="4171A84E" w14:textId="40528104" w:rsidR="00C1609C" w:rsidRDefault="009F728B" w:rsidP="00604A92">
            <w:pPr>
              <w:pStyle w:val="Header"/>
              <w:tabs>
                <w:tab w:val="clear" w:pos="4320"/>
                <w:tab w:val="clear" w:pos="8640"/>
              </w:tabs>
              <w:jc w:val="both"/>
            </w:pPr>
            <w:r>
              <w:t>It is the committee's opinion that this b</w:t>
            </w:r>
            <w:r>
              <w:t>ill does not expressly grant any additional rulemaking authority to a state officer, department, agency, or institution.</w:t>
            </w:r>
          </w:p>
          <w:p w14:paraId="550DD5D0" w14:textId="77777777" w:rsidR="008423E4" w:rsidRPr="00E21FDC" w:rsidRDefault="008423E4" w:rsidP="00604A92">
            <w:pPr>
              <w:rPr>
                <w:b/>
              </w:rPr>
            </w:pPr>
          </w:p>
        </w:tc>
      </w:tr>
      <w:tr w:rsidR="00C44302" w14:paraId="71C3EC61" w14:textId="77777777" w:rsidTr="00345119">
        <w:tc>
          <w:tcPr>
            <w:tcW w:w="9576" w:type="dxa"/>
          </w:tcPr>
          <w:p w14:paraId="6ADE7BA2" w14:textId="77777777" w:rsidR="008423E4" w:rsidRPr="00A8133F" w:rsidRDefault="009F728B" w:rsidP="00604A92">
            <w:pPr>
              <w:rPr>
                <w:b/>
              </w:rPr>
            </w:pPr>
            <w:r w:rsidRPr="009C1E9A">
              <w:rPr>
                <w:b/>
                <w:u w:val="single"/>
              </w:rPr>
              <w:t>ANALYSIS</w:t>
            </w:r>
            <w:r>
              <w:rPr>
                <w:b/>
              </w:rPr>
              <w:t xml:space="preserve"> </w:t>
            </w:r>
          </w:p>
          <w:p w14:paraId="7439DF59" w14:textId="79C7F712" w:rsidR="008423E4" w:rsidRDefault="008423E4" w:rsidP="00604A92">
            <w:pPr>
              <w:pStyle w:val="Header"/>
              <w:tabs>
                <w:tab w:val="clear" w:pos="4320"/>
                <w:tab w:val="clear" w:pos="8640"/>
              </w:tabs>
              <w:jc w:val="both"/>
            </w:pPr>
          </w:p>
          <w:p w14:paraId="6B3A4FF1" w14:textId="238E67FA" w:rsidR="009C36CD" w:rsidRPr="009C36CD" w:rsidRDefault="009F728B" w:rsidP="00604A92">
            <w:pPr>
              <w:pStyle w:val="Header"/>
              <w:tabs>
                <w:tab w:val="clear" w:pos="4320"/>
                <w:tab w:val="clear" w:pos="8640"/>
              </w:tabs>
              <w:jc w:val="both"/>
            </w:pPr>
            <w:r>
              <w:t>S.B. 1158</w:t>
            </w:r>
            <w:r w:rsidR="00C1609C">
              <w:t xml:space="preserve"> amends the Government Code to classify </w:t>
            </w:r>
            <w:r w:rsidR="00C1609C" w:rsidRPr="00C1609C">
              <w:t xml:space="preserve">each series of games for the World Cup soccer tournament held in a market area designated for that series </w:t>
            </w:r>
            <w:r w:rsidR="00C1609C">
              <w:t xml:space="preserve">as </w:t>
            </w:r>
            <w:r w:rsidR="00C1609C" w:rsidRPr="00C1609C">
              <w:t>a separate, single event</w:t>
            </w:r>
            <w:r w:rsidR="00C1609C">
              <w:t xml:space="preserve"> for the purposes </w:t>
            </w:r>
            <w:r w:rsidR="004262A3">
              <w:t xml:space="preserve">of </w:t>
            </w:r>
            <w:r w:rsidR="00C1609C">
              <w:t xml:space="preserve">eligibility for </w:t>
            </w:r>
            <w:r w:rsidR="00DA706D">
              <w:t xml:space="preserve">funding under </w:t>
            </w:r>
            <w:r w:rsidR="00C1609C">
              <w:t xml:space="preserve">the major events reimbursement program. </w:t>
            </w:r>
          </w:p>
          <w:p w14:paraId="3719BF12" w14:textId="77777777" w:rsidR="008423E4" w:rsidRPr="00835628" w:rsidRDefault="008423E4" w:rsidP="00604A92">
            <w:pPr>
              <w:rPr>
                <w:b/>
              </w:rPr>
            </w:pPr>
          </w:p>
        </w:tc>
      </w:tr>
      <w:tr w:rsidR="00C44302" w14:paraId="1F17FA08" w14:textId="77777777" w:rsidTr="00345119">
        <w:tc>
          <w:tcPr>
            <w:tcW w:w="9576" w:type="dxa"/>
          </w:tcPr>
          <w:p w14:paraId="04503316" w14:textId="77777777" w:rsidR="008423E4" w:rsidRPr="00A8133F" w:rsidRDefault="009F728B" w:rsidP="00604A92">
            <w:pPr>
              <w:rPr>
                <w:b/>
              </w:rPr>
            </w:pPr>
            <w:r w:rsidRPr="009C1E9A">
              <w:rPr>
                <w:b/>
                <w:u w:val="single"/>
              </w:rPr>
              <w:t>EFFECTIVE DATE</w:t>
            </w:r>
            <w:r>
              <w:rPr>
                <w:b/>
              </w:rPr>
              <w:t xml:space="preserve"> </w:t>
            </w:r>
          </w:p>
          <w:p w14:paraId="13C4918F" w14:textId="77777777" w:rsidR="008423E4" w:rsidRDefault="008423E4" w:rsidP="00604A92"/>
          <w:p w14:paraId="7710E81F" w14:textId="17D19418" w:rsidR="008423E4" w:rsidRPr="003624F2" w:rsidRDefault="009F728B" w:rsidP="00604A92">
            <w:pPr>
              <w:pStyle w:val="Header"/>
              <w:tabs>
                <w:tab w:val="clear" w:pos="4320"/>
                <w:tab w:val="clear" w:pos="8640"/>
              </w:tabs>
              <w:jc w:val="both"/>
            </w:pPr>
            <w:r>
              <w:t>September 1, 2023.</w:t>
            </w:r>
          </w:p>
          <w:p w14:paraId="5EA5F0E9" w14:textId="77777777" w:rsidR="008423E4" w:rsidRPr="00233FDB" w:rsidRDefault="008423E4" w:rsidP="00604A92">
            <w:pPr>
              <w:rPr>
                <w:b/>
              </w:rPr>
            </w:pPr>
          </w:p>
        </w:tc>
      </w:tr>
    </w:tbl>
    <w:p w14:paraId="75DFC125" w14:textId="77777777" w:rsidR="008423E4" w:rsidRPr="00BE0E75" w:rsidRDefault="008423E4" w:rsidP="00604A92">
      <w:pPr>
        <w:jc w:val="both"/>
        <w:rPr>
          <w:rFonts w:ascii="Arial" w:hAnsi="Arial"/>
          <w:sz w:val="16"/>
          <w:szCs w:val="16"/>
        </w:rPr>
      </w:pPr>
    </w:p>
    <w:p w14:paraId="2401AA25" w14:textId="77777777" w:rsidR="004108C3" w:rsidRPr="008423E4" w:rsidRDefault="004108C3" w:rsidP="00604A92"/>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FDD25" w14:textId="77777777" w:rsidR="00000000" w:rsidRDefault="009F728B">
      <w:r>
        <w:separator/>
      </w:r>
    </w:p>
  </w:endnote>
  <w:endnote w:type="continuationSeparator" w:id="0">
    <w:p w14:paraId="38FC3DD9" w14:textId="77777777" w:rsidR="00000000" w:rsidRDefault="009F7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D0F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44302" w14:paraId="482BE2C9" w14:textId="77777777" w:rsidTr="009C1E9A">
      <w:trPr>
        <w:cantSplit/>
      </w:trPr>
      <w:tc>
        <w:tcPr>
          <w:tcW w:w="0" w:type="pct"/>
        </w:tcPr>
        <w:p w14:paraId="62A8746A" w14:textId="77777777" w:rsidR="00137D90" w:rsidRDefault="00137D90" w:rsidP="009C1E9A">
          <w:pPr>
            <w:pStyle w:val="Footer"/>
            <w:tabs>
              <w:tab w:val="clear" w:pos="8640"/>
              <w:tab w:val="right" w:pos="9360"/>
            </w:tabs>
          </w:pPr>
        </w:p>
      </w:tc>
      <w:tc>
        <w:tcPr>
          <w:tcW w:w="2395" w:type="pct"/>
        </w:tcPr>
        <w:p w14:paraId="7386FDB7" w14:textId="77777777" w:rsidR="00137D90" w:rsidRDefault="00137D90" w:rsidP="009C1E9A">
          <w:pPr>
            <w:pStyle w:val="Footer"/>
            <w:tabs>
              <w:tab w:val="clear" w:pos="8640"/>
              <w:tab w:val="right" w:pos="9360"/>
            </w:tabs>
          </w:pPr>
        </w:p>
        <w:p w14:paraId="1CC05550" w14:textId="77777777" w:rsidR="001A4310" w:rsidRDefault="001A4310" w:rsidP="009C1E9A">
          <w:pPr>
            <w:pStyle w:val="Footer"/>
            <w:tabs>
              <w:tab w:val="clear" w:pos="8640"/>
              <w:tab w:val="right" w:pos="9360"/>
            </w:tabs>
          </w:pPr>
        </w:p>
        <w:p w14:paraId="19958D0C" w14:textId="77777777" w:rsidR="00137D90" w:rsidRDefault="00137D90" w:rsidP="009C1E9A">
          <w:pPr>
            <w:pStyle w:val="Footer"/>
            <w:tabs>
              <w:tab w:val="clear" w:pos="8640"/>
              <w:tab w:val="right" w:pos="9360"/>
            </w:tabs>
          </w:pPr>
        </w:p>
      </w:tc>
      <w:tc>
        <w:tcPr>
          <w:tcW w:w="2453" w:type="pct"/>
        </w:tcPr>
        <w:p w14:paraId="1950B491" w14:textId="77777777" w:rsidR="00137D90" w:rsidRDefault="00137D90" w:rsidP="009C1E9A">
          <w:pPr>
            <w:pStyle w:val="Footer"/>
            <w:tabs>
              <w:tab w:val="clear" w:pos="8640"/>
              <w:tab w:val="right" w:pos="9360"/>
            </w:tabs>
            <w:jc w:val="right"/>
          </w:pPr>
        </w:p>
      </w:tc>
    </w:tr>
    <w:tr w:rsidR="00C44302" w14:paraId="6D835574" w14:textId="77777777" w:rsidTr="009C1E9A">
      <w:trPr>
        <w:cantSplit/>
      </w:trPr>
      <w:tc>
        <w:tcPr>
          <w:tcW w:w="0" w:type="pct"/>
        </w:tcPr>
        <w:p w14:paraId="56A81721" w14:textId="77777777" w:rsidR="00EC379B" w:rsidRDefault="00EC379B" w:rsidP="009C1E9A">
          <w:pPr>
            <w:pStyle w:val="Footer"/>
            <w:tabs>
              <w:tab w:val="clear" w:pos="8640"/>
              <w:tab w:val="right" w:pos="9360"/>
            </w:tabs>
          </w:pPr>
        </w:p>
      </w:tc>
      <w:tc>
        <w:tcPr>
          <w:tcW w:w="2395" w:type="pct"/>
        </w:tcPr>
        <w:p w14:paraId="098C2C3A" w14:textId="2D15C8B0" w:rsidR="00EC379B" w:rsidRPr="009C1E9A" w:rsidRDefault="009F728B" w:rsidP="009C1E9A">
          <w:pPr>
            <w:pStyle w:val="Footer"/>
            <w:tabs>
              <w:tab w:val="clear" w:pos="8640"/>
              <w:tab w:val="right" w:pos="9360"/>
            </w:tabs>
            <w:rPr>
              <w:rFonts w:ascii="Shruti" w:hAnsi="Shruti"/>
              <w:sz w:val="22"/>
            </w:rPr>
          </w:pPr>
          <w:r>
            <w:rPr>
              <w:rFonts w:ascii="Shruti" w:hAnsi="Shruti"/>
              <w:sz w:val="22"/>
            </w:rPr>
            <w:t>88R 27591-D</w:t>
          </w:r>
        </w:p>
      </w:tc>
      <w:tc>
        <w:tcPr>
          <w:tcW w:w="2453" w:type="pct"/>
        </w:tcPr>
        <w:p w14:paraId="61895B60" w14:textId="7E5D3E0F" w:rsidR="00EC379B" w:rsidRDefault="009F728B" w:rsidP="009C1E9A">
          <w:pPr>
            <w:pStyle w:val="Footer"/>
            <w:tabs>
              <w:tab w:val="clear" w:pos="8640"/>
              <w:tab w:val="right" w:pos="9360"/>
            </w:tabs>
            <w:jc w:val="right"/>
          </w:pPr>
          <w:r>
            <w:fldChar w:fldCharType="begin"/>
          </w:r>
          <w:r>
            <w:instrText xml:space="preserve"> DOCPROPERTY  OTID  \* MERGEFORMAT </w:instrText>
          </w:r>
          <w:r>
            <w:fldChar w:fldCharType="separate"/>
          </w:r>
          <w:r w:rsidR="006F165B">
            <w:t>23.121.901</w:t>
          </w:r>
          <w:r>
            <w:fldChar w:fldCharType="end"/>
          </w:r>
        </w:p>
      </w:tc>
    </w:tr>
    <w:tr w:rsidR="00C44302" w14:paraId="5CD36B42" w14:textId="77777777" w:rsidTr="009C1E9A">
      <w:trPr>
        <w:cantSplit/>
      </w:trPr>
      <w:tc>
        <w:tcPr>
          <w:tcW w:w="0" w:type="pct"/>
        </w:tcPr>
        <w:p w14:paraId="62722C57" w14:textId="77777777" w:rsidR="00EC379B" w:rsidRDefault="00EC379B" w:rsidP="009C1E9A">
          <w:pPr>
            <w:pStyle w:val="Footer"/>
            <w:tabs>
              <w:tab w:val="clear" w:pos="4320"/>
              <w:tab w:val="clear" w:pos="8640"/>
              <w:tab w:val="left" w:pos="2865"/>
            </w:tabs>
          </w:pPr>
        </w:p>
      </w:tc>
      <w:tc>
        <w:tcPr>
          <w:tcW w:w="2395" w:type="pct"/>
        </w:tcPr>
        <w:p w14:paraId="511BE058"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57A6889" w14:textId="77777777" w:rsidR="00EC379B" w:rsidRDefault="00EC379B" w:rsidP="006D504F">
          <w:pPr>
            <w:pStyle w:val="Footer"/>
            <w:rPr>
              <w:rStyle w:val="PageNumber"/>
            </w:rPr>
          </w:pPr>
        </w:p>
        <w:p w14:paraId="34091E12" w14:textId="77777777" w:rsidR="00EC379B" w:rsidRDefault="00EC379B" w:rsidP="009C1E9A">
          <w:pPr>
            <w:pStyle w:val="Footer"/>
            <w:tabs>
              <w:tab w:val="clear" w:pos="8640"/>
              <w:tab w:val="right" w:pos="9360"/>
            </w:tabs>
            <w:jc w:val="right"/>
          </w:pPr>
        </w:p>
      </w:tc>
    </w:tr>
    <w:tr w:rsidR="00C44302" w14:paraId="704B7C3B" w14:textId="77777777" w:rsidTr="009C1E9A">
      <w:trPr>
        <w:cantSplit/>
        <w:trHeight w:val="323"/>
      </w:trPr>
      <w:tc>
        <w:tcPr>
          <w:tcW w:w="0" w:type="pct"/>
          <w:gridSpan w:val="3"/>
        </w:tcPr>
        <w:p w14:paraId="35C6B132" w14:textId="77777777" w:rsidR="00EC379B" w:rsidRDefault="009F728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288AC6C" w14:textId="77777777" w:rsidR="00EC379B" w:rsidRDefault="00EC379B" w:rsidP="009C1E9A">
          <w:pPr>
            <w:pStyle w:val="Footer"/>
            <w:tabs>
              <w:tab w:val="clear" w:pos="8640"/>
              <w:tab w:val="right" w:pos="9360"/>
            </w:tabs>
            <w:jc w:val="center"/>
          </w:pPr>
        </w:p>
      </w:tc>
    </w:tr>
  </w:tbl>
  <w:p w14:paraId="1AE9CAD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44A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1708E" w14:textId="77777777" w:rsidR="00000000" w:rsidRDefault="009F728B">
      <w:r>
        <w:separator/>
      </w:r>
    </w:p>
  </w:footnote>
  <w:footnote w:type="continuationSeparator" w:id="0">
    <w:p w14:paraId="3733E82B" w14:textId="77777777" w:rsidR="00000000" w:rsidRDefault="009F7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8A14"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3C14"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9B50C"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0D0"/>
    <w:rsid w:val="00000A70"/>
    <w:rsid w:val="000032B8"/>
    <w:rsid w:val="00003B06"/>
    <w:rsid w:val="000054B9"/>
    <w:rsid w:val="00007461"/>
    <w:rsid w:val="0001117E"/>
    <w:rsid w:val="0001125F"/>
    <w:rsid w:val="0001338E"/>
    <w:rsid w:val="00013D24"/>
    <w:rsid w:val="00014AF0"/>
    <w:rsid w:val="000155D6"/>
    <w:rsid w:val="00015D4E"/>
    <w:rsid w:val="00017497"/>
    <w:rsid w:val="00020C1E"/>
    <w:rsid w:val="00020E9B"/>
    <w:rsid w:val="000236C1"/>
    <w:rsid w:val="000236EC"/>
    <w:rsid w:val="0002413D"/>
    <w:rsid w:val="000249F2"/>
    <w:rsid w:val="00024F68"/>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07B1"/>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626E"/>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D7459"/>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2F4E"/>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62A3"/>
    <w:rsid w:val="0043190E"/>
    <w:rsid w:val="004324E9"/>
    <w:rsid w:val="004350F3"/>
    <w:rsid w:val="00436980"/>
    <w:rsid w:val="00441016"/>
    <w:rsid w:val="00441F2F"/>
    <w:rsid w:val="0044228B"/>
    <w:rsid w:val="004457B6"/>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6A1B"/>
    <w:rsid w:val="004C7888"/>
    <w:rsid w:val="004D1AC9"/>
    <w:rsid w:val="004D27DE"/>
    <w:rsid w:val="004D3F41"/>
    <w:rsid w:val="004D5098"/>
    <w:rsid w:val="004D50D0"/>
    <w:rsid w:val="004D6215"/>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0EF2"/>
    <w:rsid w:val="006012DA"/>
    <w:rsid w:val="00603B0F"/>
    <w:rsid w:val="006049F5"/>
    <w:rsid w:val="00604A92"/>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165B"/>
    <w:rsid w:val="006F365D"/>
    <w:rsid w:val="006F4BB0"/>
    <w:rsid w:val="0070138B"/>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2AFD"/>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4B6"/>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1D7A"/>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0ABE"/>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9F728B"/>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5F44"/>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4856"/>
    <w:rsid w:val="00A65857"/>
    <w:rsid w:val="00A70E35"/>
    <w:rsid w:val="00A720DC"/>
    <w:rsid w:val="00A803CF"/>
    <w:rsid w:val="00A8133F"/>
    <w:rsid w:val="00A82CB4"/>
    <w:rsid w:val="00A837A8"/>
    <w:rsid w:val="00A83C36"/>
    <w:rsid w:val="00A878B9"/>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6F66"/>
    <w:rsid w:val="00AD7780"/>
    <w:rsid w:val="00AE06C5"/>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B7367"/>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3C6C"/>
    <w:rsid w:val="00C040AB"/>
    <w:rsid w:val="00C0499B"/>
    <w:rsid w:val="00C05406"/>
    <w:rsid w:val="00C05CF0"/>
    <w:rsid w:val="00C119AC"/>
    <w:rsid w:val="00C14EE6"/>
    <w:rsid w:val="00C151DA"/>
    <w:rsid w:val="00C152A1"/>
    <w:rsid w:val="00C1609C"/>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4302"/>
    <w:rsid w:val="00C46166"/>
    <w:rsid w:val="00C4710D"/>
    <w:rsid w:val="00C50CAD"/>
    <w:rsid w:val="00C522F9"/>
    <w:rsid w:val="00C57293"/>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12D0"/>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3C80"/>
    <w:rsid w:val="00D64B88"/>
    <w:rsid w:val="00D64DC5"/>
    <w:rsid w:val="00D66577"/>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A706D"/>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29AE"/>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39C"/>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27BA"/>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17E5"/>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301B2C-1B84-4562-95D0-FF8419F4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1609C"/>
    <w:rPr>
      <w:sz w:val="16"/>
      <w:szCs w:val="16"/>
    </w:rPr>
  </w:style>
  <w:style w:type="paragraph" w:styleId="CommentText">
    <w:name w:val="annotation text"/>
    <w:basedOn w:val="Normal"/>
    <w:link w:val="CommentTextChar"/>
    <w:semiHidden/>
    <w:unhideWhenUsed/>
    <w:rsid w:val="00C1609C"/>
    <w:rPr>
      <w:sz w:val="20"/>
      <w:szCs w:val="20"/>
    </w:rPr>
  </w:style>
  <w:style w:type="character" w:customStyle="1" w:styleId="CommentTextChar">
    <w:name w:val="Comment Text Char"/>
    <w:basedOn w:val="DefaultParagraphFont"/>
    <w:link w:val="CommentText"/>
    <w:semiHidden/>
    <w:rsid w:val="00C1609C"/>
  </w:style>
  <w:style w:type="paragraph" w:styleId="CommentSubject">
    <w:name w:val="annotation subject"/>
    <w:basedOn w:val="CommentText"/>
    <w:next w:val="CommentText"/>
    <w:link w:val="CommentSubjectChar"/>
    <w:semiHidden/>
    <w:unhideWhenUsed/>
    <w:rsid w:val="00C1609C"/>
    <w:rPr>
      <w:b/>
      <w:bCs/>
    </w:rPr>
  </w:style>
  <w:style w:type="character" w:customStyle="1" w:styleId="CommentSubjectChar">
    <w:name w:val="Comment Subject Char"/>
    <w:basedOn w:val="CommentTextChar"/>
    <w:link w:val="CommentSubject"/>
    <w:semiHidden/>
    <w:rsid w:val="00C1609C"/>
    <w:rPr>
      <w:b/>
      <w:bCs/>
    </w:rPr>
  </w:style>
  <w:style w:type="paragraph" w:styleId="Revision">
    <w:name w:val="Revision"/>
    <w:hidden/>
    <w:uiPriority w:val="99"/>
    <w:semiHidden/>
    <w:rsid w:val="004262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1813</Characters>
  <Application>Microsoft Office Word</Application>
  <DocSecurity>4</DocSecurity>
  <Lines>50</Lines>
  <Paragraphs>15</Paragraphs>
  <ScaleCrop>false</ScaleCrop>
  <HeadingPairs>
    <vt:vector size="2" baseType="variant">
      <vt:variant>
        <vt:lpstr>Title</vt:lpstr>
      </vt:variant>
      <vt:variant>
        <vt:i4>1</vt:i4>
      </vt:variant>
    </vt:vector>
  </HeadingPairs>
  <TitlesOfParts>
    <vt:vector size="1" baseType="lpstr">
      <vt:lpstr>BA - SB01158 (Committee Report (Unamended))</vt:lpstr>
    </vt:vector>
  </TitlesOfParts>
  <Company>State of Texas</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27591</dc:subject>
  <dc:creator>State of Texas</dc:creator>
  <dc:description>SB 1158 by Whitmire-(H)Culture, Recreation &amp; Tourism</dc:description>
  <cp:lastModifiedBy>Stacey Nicchio</cp:lastModifiedBy>
  <cp:revision>2</cp:revision>
  <cp:lastPrinted>2003-11-26T17:21:00Z</cp:lastPrinted>
  <dcterms:created xsi:type="dcterms:W3CDTF">2023-05-01T19:56:00Z</dcterms:created>
  <dcterms:modified xsi:type="dcterms:W3CDTF">2023-05-01T19:56:00Z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23.121.901</vt:lpwstr>
  </property>
</Properties>
</file>