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51F36" w14:paraId="3E9514A6" w14:textId="77777777" w:rsidTr="00345119">
        <w:tc>
          <w:tcPr>
            <w:tcW w:w="9576" w:type="dxa"/>
            <w:noWrap/>
          </w:tcPr>
          <w:p w14:paraId="02638294" w14:textId="77777777" w:rsidR="008423E4" w:rsidRPr="0022177D" w:rsidRDefault="005F650A" w:rsidP="00721DDF">
            <w:pPr>
              <w:pStyle w:val="Heading1"/>
            </w:pPr>
            <w:r w:rsidRPr="00631897">
              <w:t>BILL ANALYSIS</w:t>
            </w:r>
          </w:p>
        </w:tc>
      </w:tr>
    </w:tbl>
    <w:p w14:paraId="7845F693" w14:textId="77777777" w:rsidR="008423E4" w:rsidRPr="0022177D" w:rsidRDefault="008423E4" w:rsidP="00721DDF">
      <w:pPr>
        <w:jc w:val="center"/>
      </w:pPr>
    </w:p>
    <w:p w14:paraId="2F11672E" w14:textId="77777777" w:rsidR="008423E4" w:rsidRPr="00B31F0E" w:rsidRDefault="008423E4" w:rsidP="00721DDF"/>
    <w:p w14:paraId="49B01A44" w14:textId="77777777" w:rsidR="008423E4" w:rsidRPr="00742794" w:rsidRDefault="008423E4" w:rsidP="00721DD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51F36" w14:paraId="20E8E3E3" w14:textId="77777777" w:rsidTr="00345119">
        <w:tc>
          <w:tcPr>
            <w:tcW w:w="9576" w:type="dxa"/>
          </w:tcPr>
          <w:p w14:paraId="03EC7248" w14:textId="2285E092" w:rsidR="008423E4" w:rsidRPr="00861995" w:rsidRDefault="005F650A" w:rsidP="00721DDF">
            <w:pPr>
              <w:jc w:val="right"/>
            </w:pPr>
            <w:r>
              <w:t>S.B. 1173</w:t>
            </w:r>
          </w:p>
        </w:tc>
      </w:tr>
      <w:tr w:rsidR="00851F36" w14:paraId="11D2568A" w14:textId="77777777" w:rsidTr="00345119">
        <w:tc>
          <w:tcPr>
            <w:tcW w:w="9576" w:type="dxa"/>
          </w:tcPr>
          <w:p w14:paraId="217B49FE" w14:textId="370979B9" w:rsidR="008423E4" w:rsidRPr="00861995" w:rsidRDefault="005F650A" w:rsidP="00721DDF">
            <w:pPr>
              <w:jc w:val="right"/>
            </w:pPr>
            <w:r>
              <w:t xml:space="preserve">By: </w:t>
            </w:r>
            <w:r w:rsidR="00784BCD">
              <w:t>Huffman</w:t>
            </w:r>
          </w:p>
        </w:tc>
      </w:tr>
      <w:tr w:rsidR="00851F36" w14:paraId="5D818781" w14:textId="77777777" w:rsidTr="00345119">
        <w:tc>
          <w:tcPr>
            <w:tcW w:w="9576" w:type="dxa"/>
          </w:tcPr>
          <w:p w14:paraId="4D4EA7A0" w14:textId="080AFEA4" w:rsidR="008423E4" w:rsidRPr="00861995" w:rsidRDefault="005F650A" w:rsidP="00721DDF">
            <w:pPr>
              <w:jc w:val="right"/>
            </w:pPr>
            <w:r>
              <w:t>Judiciary &amp; Civil Jurisprudence</w:t>
            </w:r>
          </w:p>
        </w:tc>
      </w:tr>
      <w:tr w:rsidR="00851F36" w14:paraId="03E1BF59" w14:textId="77777777" w:rsidTr="00345119">
        <w:tc>
          <w:tcPr>
            <w:tcW w:w="9576" w:type="dxa"/>
          </w:tcPr>
          <w:p w14:paraId="4D384CA9" w14:textId="4924DAA1" w:rsidR="008423E4" w:rsidRDefault="005F650A" w:rsidP="00721DDF">
            <w:pPr>
              <w:jc w:val="right"/>
            </w:pPr>
            <w:r>
              <w:t>Committee Report (Unamended)</w:t>
            </w:r>
          </w:p>
        </w:tc>
      </w:tr>
    </w:tbl>
    <w:p w14:paraId="0676658B" w14:textId="77777777" w:rsidR="008423E4" w:rsidRDefault="008423E4" w:rsidP="00721DDF">
      <w:pPr>
        <w:tabs>
          <w:tab w:val="right" w:pos="9360"/>
        </w:tabs>
      </w:pPr>
    </w:p>
    <w:p w14:paraId="07223F6B" w14:textId="77777777" w:rsidR="008423E4" w:rsidRDefault="008423E4" w:rsidP="00721DDF"/>
    <w:p w14:paraId="47E7AF02" w14:textId="77777777" w:rsidR="008423E4" w:rsidRDefault="008423E4" w:rsidP="00721DD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51F36" w14:paraId="0ACD55B8" w14:textId="77777777" w:rsidTr="00345119">
        <w:tc>
          <w:tcPr>
            <w:tcW w:w="9576" w:type="dxa"/>
          </w:tcPr>
          <w:p w14:paraId="1E31AFFA" w14:textId="77777777" w:rsidR="008423E4" w:rsidRPr="00A8133F" w:rsidRDefault="005F650A" w:rsidP="00721DD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38D1E6" w14:textId="77777777" w:rsidR="008423E4" w:rsidRDefault="008423E4" w:rsidP="00721DDF"/>
          <w:p w14:paraId="65D95AB7" w14:textId="7033E8D6" w:rsidR="008423E4" w:rsidRDefault="005F650A" w:rsidP="00721DDF">
            <w:pPr>
              <w:pStyle w:val="Header"/>
              <w:jc w:val="both"/>
            </w:pPr>
            <w:r>
              <w:t xml:space="preserve">Current law allows judges of the courts in Harris County that have the same criminal jurisdiction to select a </w:t>
            </w:r>
            <w:r>
              <w:t>presiding judge from among themselves. However, there is uncertainty regarding a presiding judge</w:t>
            </w:r>
            <w:r w:rsidR="00EC5980">
              <w:t>'</w:t>
            </w:r>
            <w:r>
              <w:t>s power to appoint a special judge in the case of an absence</w:t>
            </w:r>
            <w:r w:rsidR="000E6AE5">
              <w:t>,</w:t>
            </w:r>
            <w:r>
              <w:t xml:space="preserve"> as well as confusion regarding which individuals are eligible for appointment. S.B.</w:t>
            </w:r>
            <w:r w:rsidR="008B10FB">
              <w:t> </w:t>
            </w:r>
            <w:r>
              <w:t>1173</w:t>
            </w:r>
            <w:r w:rsidR="000E6AE5">
              <w:t xml:space="preserve"> seeks to address this issue by</w:t>
            </w:r>
            <w:r>
              <w:t xml:space="preserve"> clarif</w:t>
            </w:r>
            <w:r w:rsidR="000E6AE5">
              <w:t>ying</w:t>
            </w:r>
            <w:r>
              <w:t xml:space="preserve"> that if a presiding judge is absent for any reason, the presiding judge may appoint a special judge to serve in their place</w:t>
            </w:r>
            <w:r w:rsidR="000E6AE5">
              <w:t xml:space="preserve">, and by </w:t>
            </w:r>
            <w:r>
              <w:t>specif</w:t>
            </w:r>
            <w:r w:rsidR="000E6AE5">
              <w:t>ying</w:t>
            </w:r>
            <w:r>
              <w:t xml:space="preserve"> that the appointed special judge must </w:t>
            </w:r>
            <w:r w:rsidR="00CA5D2C" w:rsidRPr="00CA5D2C">
              <w:t>be selected from a list of judges meeting certain criteria that is maintained by the presiding judge</w:t>
            </w:r>
            <w:r w:rsidR="000E6AE5">
              <w:t>. The legislation also</w:t>
            </w:r>
            <w:r w:rsidR="000E6AE5" w:rsidRPr="000E6AE5">
              <w:t xml:space="preserve"> </w:t>
            </w:r>
            <w:r w:rsidR="007E1A8B">
              <w:t>s</w:t>
            </w:r>
            <w:r w:rsidR="000E6AE5" w:rsidRPr="000E6AE5">
              <w:t>ets the procedure for the appointment of criminal law hearing officers and associate judges for certain courts</w:t>
            </w:r>
            <w:r w:rsidR="000E6AE5">
              <w:t>.</w:t>
            </w:r>
          </w:p>
          <w:p w14:paraId="5E7A098D" w14:textId="77777777" w:rsidR="008423E4" w:rsidRPr="00E26B13" w:rsidRDefault="008423E4" w:rsidP="00721DDF">
            <w:pPr>
              <w:rPr>
                <w:b/>
              </w:rPr>
            </w:pPr>
          </w:p>
        </w:tc>
      </w:tr>
      <w:tr w:rsidR="00851F36" w14:paraId="72300413" w14:textId="77777777" w:rsidTr="00345119">
        <w:tc>
          <w:tcPr>
            <w:tcW w:w="9576" w:type="dxa"/>
          </w:tcPr>
          <w:p w14:paraId="025E321D" w14:textId="77777777" w:rsidR="0017725B" w:rsidRDefault="005F650A" w:rsidP="00721D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2B533D6" w14:textId="77777777" w:rsidR="0017725B" w:rsidRDefault="0017725B" w:rsidP="00721DDF">
            <w:pPr>
              <w:rPr>
                <w:b/>
                <w:u w:val="single"/>
              </w:rPr>
            </w:pPr>
          </w:p>
          <w:p w14:paraId="3ADCB79E" w14:textId="407D04A3" w:rsidR="008A32B7" w:rsidRPr="008A32B7" w:rsidRDefault="005F650A" w:rsidP="00721DDF">
            <w:pPr>
              <w:jc w:val="both"/>
            </w:pPr>
            <w:r>
              <w:t>It is the committee's opinion that</w:t>
            </w:r>
            <w:r>
              <w:t xml:space="preserve">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C3F4468" w14:textId="77777777" w:rsidR="0017725B" w:rsidRPr="0017725B" w:rsidRDefault="0017725B" w:rsidP="00721DDF">
            <w:pPr>
              <w:rPr>
                <w:b/>
                <w:u w:val="single"/>
              </w:rPr>
            </w:pPr>
          </w:p>
        </w:tc>
      </w:tr>
      <w:tr w:rsidR="00851F36" w14:paraId="7647FBCB" w14:textId="77777777" w:rsidTr="00345119">
        <w:tc>
          <w:tcPr>
            <w:tcW w:w="9576" w:type="dxa"/>
          </w:tcPr>
          <w:p w14:paraId="371932E1" w14:textId="77777777" w:rsidR="008423E4" w:rsidRPr="00A8133F" w:rsidRDefault="005F650A" w:rsidP="00721DD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C1C3D1" w14:textId="77777777" w:rsidR="008423E4" w:rsidRDefault="008423E4" w:rsidP="00721DDF"/>
          <w:p w14:paraId="16EAAA73" w14:textId="4399CA6E" w:rsidR="008A32B7" w:rsidRDefault="005F650A" w:rsidP="00721D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B1A980C" w14:textId="77777777" w:rsidR="008423E4" w:rsidRPr="00E21FDC" w:rsidRDefault="008423E4" w:rsidP="00721DDF">
            <w:pPr>
              <w:rPr>
                <w:b/>
              </w:rPr>
            </w:pPr>
          </w:p>
        </w:tc>
      </w:tr>
      <w:tr w:rsidR="00851F36" w14:paraId="65135934" w14:textId="77777777" w:rsidTr="00345119">
        <w:tc>
          <w:tcPr>
            <w:tcW w:w="9576" w:type="dxa"/>
          </w:tcPr>
          <w:p w14:paraId="42938944" w14:textId="77777777" w:rsidR="008423E4" w:rsidRPr="00A8133F" w:rsidRDefault="005F650A" w:rsidP="00721DDF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72CC98" w14:textId="77777777" w:rsidR="00D76C9E" w:rsidRDefault="00D76C9E" w:rsidP="00721DDF">
            <w:pPr>
              <w:jc w:val="both"/>
            </w:pPr>
          </w:p>
          <w:p w14:paraId="459CE663" w14:textId="083C115D" w:rsidR="000550EC" w:rsidRDefault="005F650A" w:rsidP="00721DDF">
            <w:pPr>
              <w:jc w:val="both"/>
            </w:pPr>
            <w:r>
              <w:t xml:space="preserve">S.B. </w:t>
            </w:r>
            <w:r w:rsidR="004F1CAE">
              <w:t xml:space="preserve">1173 </w:t>
            </w:r>
            <w:r w:rsidR="00E17195">
              <w:t xml:space="preserve">amends the Government Code to </w:t>
            </w:r>
            <w:r w:rsidR="00790D23">
              <w:t xml:space="preserve">set out provisions relating to the </w:t>
            </w:r>
            <w:r w:rsidR="00790D23" w:rsidRPr="00790D23">
              <w:t xml:space="preserve">appointment of </w:t>
            </w:r>
            <w:r w:rsidR="00790D23">
              <w:t>certain c</w:t>
            </w:r>
            <w:r w:rsidR="00790D23" w:rsidRPr="00790D23">
              <w:t>riminal law hearing officers</w:t>
            </w:r>
            <w:r w:rsidR="00790D23">
              <w:t xml:space="preserve">, </w:t>
            </w:r>
            <w:r w:rsidR="00790D23" w:rsidRPr="00790D23">
              <w:t>special presiding judge</w:t>
            </w:r>
            <w:r w:rsidR="00790D23">
              <w:t>s,</w:t>
            </w:r>
            <w:r w:rsidR="00790D23" w:rsidRPr="00790D23">
              <w:t xml:space="preserve"> and associate judges</w:t>
            </w:r>
            <w:r w:rsidR="00D9751A">
              <w:t xml:space="preserve"> for certain courts</w:t>
            </w:r>
            <w:r w:rsidR="005D1A2D">
              <w:t>.</w:t>
            </w:r>
          </w:p>
          <w:p w14:paraId="64F7DEA8" w14:textId="6A60F5D6" w:rsidR="00E67C05" w:rsidRDefault="00E67C05" w:rsidP="00721DDF">
            <w:pPr>
              <w:jc w:val="both"/>
            </w:pPr>
          </w:p>
          <w:p w14:paraId="55C86593" w14:textId="0E2391CE" w:rsidR="00790D23" w:rsidRDefault="005F650A" w:rsidP="00721DDF">
            <w:pPr>
              <w:jc w:val="both"/>
            </w:pPr>
            <w:r>
              <w:t xml:space="preserve">S.B. 1173 removes the condition </w:t>
            </w:r>
            <w:r w:rsidR="000550EC">
              <w:t>on</w:t>
            </w:r>
            <w:r>
              <w:t xml:space="preserve"> the </w:t>
            </w:r>
            <w:r w:rsidRPr="00790D23">
              <w:t>appointment of Harris County c</w:t>
            </w:r>
            <w:r w:rsidRPr="00790D23">
              <w:t>riminal law hearing officers</w:t>
            </w:r>
            <w:r>
              <w:t xml:space="preserve"> </w:t>
            </w:r>
            <w:r w:rsidR="000550EC">
              <w:t>on</w:t>
            </w:r>
            <w:r>
              <w:t xml:space="preserve"> the consent and approval of the commissioners court and instead conditions their appointment on the following:</w:t>
            </w:r>
          </w:p>
          <w:p w14:paraId="03EDAE45" w14:textId="41441F32" w:rsidR="00790D23" w:rsidRDefault="005F650A" w:rsidP="00721DD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presiding judge of the administrative judicial region that includes Harris County approving the appointment</w:t>
            </w:r>
            <w:r w:rsidR="005D1A2D">
              <w:t>; and</w:t>
            </w:r>
            <w:r>
              <w:t xml:space="preserve"> </w:t>
            </w:r>
          </w:p>
          <w:p w14:paraId="44D2F485" w14:textId="41C94CDE" w:rsidR="008A32B7" w:rsidRDefault="005F650A" w:rsidP="00721DD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county auditor certifying that the expenses incurred by the appointment will not exceed the applicable budget appropriation.</w:t>
            </w:r>
          </w:p>
          <w:p w14:paraId="34D2CCE6" w14:textId="720C09AA" w:rsidR="00790D23" w:rsidRDefault="005F650A" w:rsidP="00721DDF">
            <w:pPr>
              <w:jc w:val="both"/>
            </w:pPr>
            <w:r>
              <w:t xml:space="preserve">The bill </w:t>
            </w:r>
            <w:r w:rsidR="008358E9">
              <w:t>requires</w:t>
            </w:r>
            <w:r>
              <w:t xml:space="preserve"> the board appointing the officers </w:t>
            </w:r>
            <w:r w:rsidR="008358E9">
              <w:t>to</w:t>
            </w:r>
            <w:r>
              <w:t xml:space="preserve"> ensure that the officers </w:t>
            </w:r>
            <w:r w:rsidR="008358E9">
              <w:t xml:space="preserve">are </w:t>
            </w:r>
            <w:r w:rsidR="008358E9" w:rsidRPr="008358E9">
              <w:t>certified in criminal law by the Texas Board of Legal Specialization</w:t>
            </w:r>
            <w:r w:rsidR="005D1A2D">
              <w:t xml:space="preserve"> and</w:t>
            </w:r>
            <w:r w:rsidR="008358E9">
              <w:t xml:space="preserve"> subjects the board to </w:t>
            </w:r>
            <w:r w:rsidR="005812EF">
              <w:t xml:space="preserve">the </w:t>
            </w:r>
            <w:r w:rsidR="008358E9">
              <w:t xml:space="preserve">state open meetings law. The bill changes </w:t>
            </w:r>
            <w:r w:rsidR="006861F6">
              <w:t>the nature of such an officer's one-year term from continuing after one year until a successor is appointed to continuing after the end of that term only if the officer is reappointed.</w:t>
            </w:r>
          </w:p>
          <w:p w14:paraId="473C9143" w14:textId="77777777" w:rsidR="006861F6" w:rsidRPr="008A32B7" w:rsidRDefault="006861F6" w:rsidP="00721DDF">
            <w:pPr>
              <w:jc w:val="both"/>
            </w:pPr>
          </w:p>
          <w:p w14:paraId="05F31451" w14:textId="79E9904C" w:rsidR="00E106F7" w:rsidRDefault="005F650A" w:rsidP="00721DDF">
            <w:pPr>
              <w:jc w:val="both"/>
            </w:pPr>
            <w:r>
              <w:t xml:space="preserve">S.B. 1173 establishes that the </w:t>
            </w:r>
            <w:r w:rsidRPr="001236BD">
              <w:t>local administrative district judge for Harris County is selected on the basis of seniority from the district judges of all the judicial districts comprised of Harris County.</w:t>
            </w:r>
            <w:r w:rsidR="00F7600C">
              <w:t xml:space="preserve"> The bill </w:t>
            </w:r>
            <w:r w:rsidR="00E17195">
              <w:t>requires a judge to</w:t>
            </w:r>
            <w:r w:rsidR="00CB6650">
              <w:t xml:space="preserve"> have</w:t>
            </w:r>
            <w:r w:rsidR="00E17195">
              <w:t xml:space="preserve"> serve</w:t>
            </w:r>
            <w:r w:rsidR="00CB6650">
              <w:t>d</w:t>
            </w:r>
            <w:r w:rsidR="00E17195">
              <w:t xml:space="preserve"> </w:t>
            </w:r>
            <w:r w:rsidR="00E17195" w:rsidRPr="00E16CC0">
              <w:t xml:space="preserve">at least one full term as a judge of a state or county court in </w:t>
            </w:r>
            <w:r w:rsidR="00E17195">
              <w:t xml:space="preserve">Texas </w:t>
            </w:r>
            <w:r w:rsidR="00CB6650">
              <w:t xml:space="preserve">in order </w:t>
            </w:r>
            <w:r w:rsidR="00E17195">
              <w:t xml:space="preserve">to </w:t>
            </w:r>
            <w:r w:rsidR="00E17195" w:rsidRPr="00E16CC0">
              <w:t>be selected as a presiding judge</w:t>
            </w:r>
            <w:r w:rsidR="00E17195">
              <w:t xml:space="preserve"> for a court in Harris County with criminal jurisdiction.</w:t>
            </w:r>
            <w:r w:rsidR="00CB6650">
              <w:t xml:space="preserve"> </w:t>
            </w:r>
          </w:p>
          <w:p w14:paraId="5E7FBABF" w14:textId="77777777" w:rsidR="00E106F7" w:rsidRDefault="00E106F7" w:rsidP="00721DDF">
            <w:pPr>
              <w:jc w:val="both"/>
            </w:pPr>
          </w:p>
          <w:p w14:paraId="5C3D205E" w14:textId="1E7FCDF1" w:rsidR="000550EC" w:rsidRDefault="005F650A" w:rsidP="00721DDF">
            <w:pPr>
              <w:jc w:val="both"/>
            </w:pPr>
            <w:r>
              <w:t>S.B. 1173</w:t>
            </w:r>
            <w:r w:rsidR="009A73BD">
              <w:t xml:space="preserve"> </w:t>
            </w:r>
            <w:r w:rsidR="00ED4CDB">
              <w:t>specifies that the</w:t>
            </w:r>
            <w:r w:rsidR="00882215">
              <w:t xml:space="preserve"> </w:t>
            </w:r>
            <w:r w:rsidR="00ED4CDB">
              <w:t xml:space="preserve">authorization for </w:t>
            </w:r>
            <w:r w:rsidR="00882215">
              <w:t>a Harris County criminal court</w:t>
            </w:r>
            <w:r>
              <w:t xml:space="preserve"> </w:t>
            </w:r>
            <w:r w:rsidR="00E17195">
              <w:t xml:space="preserve">presiding judge </w:t>
            </w:r>
            <w:r w:rsidR="00CB6650">
              <w:t xml:space="preserve">who </w:t>
            </w:r>
            <w:r w:rsidR="00E17195">
              <w:t xml:space="preserve">is </w:t>
            </w:r>
            <w:r w:rsidR="00E17195" w:rsidRPr="001236BD">
              <w:t>absent or for any reason unable to preside</w:t>
            </w:r>
            <w:r w:rsidR="00E17195">
              <w:t xml:space="preserve"> to </w:t>
            </w:r>
            <w:r w:rsidR="00EC5980">
              <w:t xml:space="preserve">appoint </w:t>
            </w:r>
            <w:r w:rsidR="00E17195">
              <w:t>a</w:t>
            </w:r>
            <w:r w:rsidR="005D1A2D">
              <w:t xml:space="preserve"> </w:t>
            </w:r>
            <w:r w:rsidR="00E17195">
              <w:t>special judge to serve as presiding judge</w:t>
            </w:r>
            <w:r w:rsidR="00ED4CDB">
              <w:t xml:space="preserve"> applies with respect to selecting the special judge</w:t>
            </w:r>
            <w:r w:rsidR="00E17195">
              <w:t xml:space="preserve"> from a list maintained by the presiding judge of each judge who is currently serving a term to which the judge was elected on a </w:t>
            </w:r>
            <w:r w:rsidR="00F7600C">
              <w:t xml:space="preserve">criminal </w:t>
            </w:r>
            <w:r w:rsidR="00E17195">
              <w:t xml:space="preserve">court in Harris County and </w:t>
            </w:r>
            <w:r w:rsidR="00F7600C">
              <w:t xml:space="preserve">who </w:t>
            </w:r>
            <w:r w:rsidR="00E17195">
              <w:t>has agreed to be subject to</w:t>
            </w:r>
            <w:r w:rsidR="00CB6650">
              <w:t xml:space="preserve"> the</w:t>
            </w:r>
            <w:r w:rsidR="00E17195">
              <w:t xml:space="preserve"> appointment.</w:t>
            </w:r>
            <w:r w:rsidR="00CB6650">
              <w:t xml:space="preserve"> The bill </w:t>
            </w:r>
            <w:r w:rsidR="00E17195">
              <w:t xml:space="preserve">requires </w:t>
            </w:r>
            <w:r w:rsidR="00CB6650">
              <w:t>the</w:t>
            </w:r>
            <w:r w:rsidR="00E17195">
              <w:t xml:space="preserve"> presiding judge to </w:t>
            </w:r>
            <w:r w:rsidR="00E17195" w:rsidRPr="001236BD">
              <w:t>submit the judge's selection</w:t>
            </w:r>
            <w:r w:rsidR="00E17195">
              <w:t xml:space="preserve"> </w:t>
            </w:r>
            <w:r w:rsidR="00E17195" w:rsidRPr="001236BD">
              <w:t>to the presiding judge</w:t>
            </w:r>
            <w:r w:rsidR="00F7600C">
              <w:t xml:space="preserve"> </w:t>
            </w:r>
            <w:r w:rsidR="00E17195" w:rsidRPr="001236BD">
              <w:t>of the administrative judicial region that includes Harris County for approval</w:t>
            </w:r>
            <w:r w:rsidR="00EC5980">
              <w:t xml:space="preserve"> and</w:t>
            </w:r>
            <w:r>
              <w:t xml:space="preserve"> requires</w:t>
            </w:r>
            <w:r w:rsidR="00F7600C">
              <w:t xml:space="preserve"> </w:t>
            </w:r>
            <w:r w:rsidR="00E17195" w:rsidRPr="001236BD">
              <w:t>the presiding judge of the administrative judicial region</w:t>
            </w:r>
            <w:r w:rsidR="00F7600C" w:rsidRPr="00F7600C">
              <w:t xml:space="preserve">, on </w:t>
            </w:r>
            <w:r w:rsidR="00F7600C">
              <w:t xml:space="preserve">their </w:t>
            </w:r>
            <w:r w:rsidR="00F7600C" w:rsidRPr="00F7600C">
              <w:t xml:space="preserve">approval of the selection, </w:t>
            </w:r>
            <w:r w:rsidR="00E17195">
              <w:t>to</w:t>
            </w:r>
            <w:r w:rsidR="00E17195" w:rsidRPr="001236BD">
              <w:t xml:space="preserve"> appoint the judge as a special judge to serve as presiding judge.</w:t>
            </w:r>
            <w:r>
              <w:t xml:space="preserve"> The bill clarifies </w:t>
            </w:r>
            <w:r w:rsidR="00E17195">
              <w:t xml:space="preserve">that the </w:t>
            </w:r>
            <w:r w:rsidR="00E17195" w:rsidRPr="00E17195">
              <w:t>qualifications, duties, and powers of a</w:t>
            </w:r>
            <w:r w:rsidR="00E17195">
              <w:t xml:space="preserve">n appointed </w:t>
            </w:r>
            <w:r w:rsidR="00E17195" w:rsidRPr="00E17195">
              <w:t>special judge</w:t>
            </w:r>
            <w:r w:rsidR="00E17195">
              <w:t xml:space="preserve"> </w:t>
            </w:r>
            <w:r w:rsidR="00E17195" w:rsidRPr="00E17195">
              <w:t>are the same as for the regular presiding judge</w:t>
            </w:r>
            <w:r>
              <w:t>.</w:t>
            </w:r>
            <w:r w:rsidR="00ED4CDB">
              <w:t xml:space="preserve"> </w:t>
            </w:r>
            <w:r w:rsidR="00EC5980">
              <w:t xml:space="preserve">The bill </w:t>
            </w:r>
            <w:r w:rsidR="00ED4CDB">
              <w:t xml:space="preserve">repeals a provision </w:t>
            </w:r>
            <w:r w:rsidR="00EC5980">
              <w:t>authorizing the appointment or election of</w:t>
            </w:r>
            <w:r w:rsidR="00ED4CDB">
              <w:t xml:space="preserve"> a</w:t>
            </w:r>
            <w:r w:rsidR="00ED4CDB" w:rsidRPr="00882215">
              <w:t xml:space="preserve"> </w:t>
            </w:r>
            <w:r w:rsidR="00ED4CDB">
              <w:t xml:space="preserve">Harris County </w:t>
            </w:r>
            <w:r w:rsidR="00ED4CDB" w:rsidRPr="00882215">
              <w:t xml:space="preserve">special county criminal </w:t>
            </w:r>
            <w:r w:rsidR="00ED4CDB">
              <w:t xml:space="preserve">court </w:t>
            </w:r>
            <w:r w:rsidR="00EC5980">
              <w:t xml:space="preserve">at law </w:t>
            </w:r>
            <w:r w:rsidR="00ED4CDB" w:rsidRPr="00882215">
              <w:t>judge as provided by law for special county judges</w:t>
            </w:r>
            <w:r w:rsidR="00ED4CDB">
              <w:t xml:space="preserve"> and</w:t>
            </w:r>
            <w:r w:rsidR="009A73BD">
              <w:t xml:space="preserve"> also</w:t>
            </w:r>
            <w:r w:rsidR="00ED4CDB">
              <w:t xml:space="preserve"> </w:t>
            </w:r>
            <w:r w:rsidR="009A73BD">
              <w:t xml:space="preserve">the appointment of a special judge </w:t>
            </w:r>
            <w:r w:rsidR="00ED4CDB">
              <w:t>to serve in a county criminal court at law as provided by provisions governing the presiding judge for certain Harris County courts</w:t>
            </w:r>
            <w:r w:rsidR="009A73BD">
              <w:t>.</w:t>
            </w:r>
          </w:p>
          <w:p w14:paraId="379A0D8E" w14:textId="6D8AC017" w:rsidR="000550EC" w:rsidRDefault="000550EC" w:rsidP="00721DDF">
            <w:pPr>
              <w:jc w:val="both"/>
            </w:pPr>
          </w:p>
          <w:p w14:paraId="7EF82930" w14:textId="2D044FC8" w:rsidR="000550EC" w:rsidRDefault="005F650A" w:rsidP="00721DDF">
            <w:pPr>
              <w:jc w:val="both"/>
            </w:pPr>
            <w:r w:rsidRPr="000550EC">
              <w:t>S.B.</w:t>
            </w:r>
            <w:r w:rsidR="00AC5D0F">
              <w:t xml:space="preserve"> 1173</w:t>
            </w:r>
            <w:r>
              <w:t xml:space="preserve"> r</w:t>
            </w:r>
            <w:r w:rsidRPr="000550EC">
              <w:t xml:space="preserve">emoves </w:t>
            </w:r>
            <w:r>
              <w:t xml:space="preserve">the </w:t>
            </w:r>
            <w:r w:rsidRPr="000550EC">
              <w:t>condition</w:t>
            </w:r>
            <w:r>
              <w:t xml:space="preserve"> on the </w:t>
            </w:r>
            <w:r w:rsidRPr="000550EC">
              <w:t>appointment of</w:t>
            </w:r>
            <w:r>
              <w:t xml:space="preserve"> a </w:t>
            </w:r>
            <w:r w:rsidRPr="000550EC">
              <w:t xml:space="preserve">criminal associate judge </w:t>
            </w:r>
            <w:r>
              <w:t>that the</w:t>
            </w:r>
            <w:r w:rsidRPr="000550EC">
              <w:t xml:space="preserve"> commissioners court of the county in which the court has jurisdiction authoriz</w:t>
            </w:r>
            <w:r>
              <w:t>es</w:t>
            </w:r>
            <w:r w:rsidRPr="000550EC">
              <w:t xml:space="preserve"> the creation of </w:t>
            </w:r>
            <w:r>
              <w:t>a</w:t>
            </w:r>
            <w:r w:rsidR="00B95421">
              <w:t>n</w:t>
            </w:r>
            <w:r w:rsidRPr="000550EC">
              <w:t xml:space="preserve"> associate judge position</w:t>
            </w:r>
            <w:r w:rsidR="00D517F8">
              <w:t xml:space="preserve"> and the judge's appointment to certain courts, as applicable. The bill </w:t>
            </w:r>
            <w:r w:rsidR="00D517F8" w:rsidRPr="00D517F8">
              <w:t xml:space="preserve">instead conditions </w:t>
            </w:r>
            <w:r w:rsidR="00D517F8">
              <w:t>the</w:t>
            </w:r>
            <w:r w:rsidR="00D517F8" w:rsidRPr="00D517F8">
              <w:t xml:space="preserve"> appointment </w:t>
            </w:r>
            <w:r w:rsidR="00D517F8">
              <w:t xml:space="preserve">of such a judge </w:t>
            </w:r>
            <w:r w:rsidR="00D517F8" w:rsidRPr="00D517F8">
              <w:t>on the presiding judge of the administrative judicial region that includes the county in which the court has jurisdiction authoriz</w:t>
            </w:r>
            <w:r w:rsidR="00D517F8">
              <w:t>ing</w:t>
            </w:r>
            <w:r w:rsidR="00D517F8" w:rsidRPr="00D517F8">
              <w:t xml:space="preserve"> the creation of an associate judge position</w:t>
            </w:r>
            <w:r w:rsidR="00D517F8">
              <w:t xml:space="preserve"> and the judge's appointment to certain courts, as applicable. </w:t>
            </w:r>
          </w:p>
          <w:p w14:paraId="2A0F30E4" w14:textId="77777777" w:rsidR="00E17195" w:rsidRPr="009C36CD" w:rsidRDefault="00E17195" w:rsidP="00721DDF">
            <w:pPr>
              <w:jc w:val="both"/>
            </w:pPr>
          </w:p>
          <w:p w14:paraId="643E43D6" w14:textId="77777777" w:rsidR="008423E4" w:rsidRDefault="005F650A" w:rsidP="00721DDF">
            <w:pPr>
              <w:jc w:val="both"/>
              <w:rPr>
                <w:bCs/>
              </w:rPr>
            </w:pPr>
            <w:r>
              <w:rPr>
                <w:bCs/>
              </w:rPr>
              <w:t xml:space="preserve">S.B. 1173 repeals </w:t>
            </w:r>
            <w:r w:rsidRPr="00E67C05">
              <w:rPr>
                <w:bCs/>
              </w:rPr>
              <w:t>Section 25.1033(i), Government Code</w:t>
            </w:r>
            <w:r>
              <w:rPr>
                <w:bCs/>
              </w:rPr>
              <w:t>.</w:t>
            </w:r>
            <w:r w:rsidR="001236BD">
              <w:rPr>
                <w:bCs/>
              </w:rPr>
              <w:t xml:space="preserve"> </w:t>
            </w:r>
          </w:p>
          <w:p w14:paraId="72529462" w14:textId="661F9259" w:rsidR="00D76C9E" w:rsidRPr="00E67C05" w:rsidRDefault="00D76C9E" w:rsidP="00721DDF">
            <w:pPr>
              <w:jc w:val="both"/>
              <w:rPr>
                <w:bCs/>
              </w:rPr>
            </w:pPr>
          </w:p>
        </w:tc>
      </w:tr>
      <w:tr w:rsidR="00851F36" w14:paraId="579EAAEE" w14:textId="77777777" w:rsidTr="00345119">
        <w:tc>
          <w:tcPr>
            <w:tcW w:w="9576" w:type="dxa"/>
          </w:tcPr>
          <w:p w14:paraId="3252056B" w14:textId="77777777" w:rsidR="008423E4" w:rsidRPr="00A8133F" w:rsidRDefault="005F650A" w:rsidP="00721DD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FA6B86F" w14:textId="77777777" w:rsidR="008423E4" w:rsidRDefault="008423E4" w:rsidP="00721DDF"/>
          <w:p w14:paraId="788313E2" w14:textId="1727ABB2" w:rsidR="008423E4" w:rsidRPr="00233FDB" w:rsidRDefault="005F650A" w:rsidP="00721DD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7D10409A" w14:textId="77777777" w:rsidR="008423E4" w:rsidRPr="00BE0E75" w:rsidRDefault="008423E4" w:rsidP="00721DDF">
      <w:pPr>
        <w:jc w:val="both"/>
        <w:rPr>
          <w:rFonts w:ascii="Arial" w:hAnsi="Arial"/>
          <w:sz w:val="16"/>
          <w:szCs w:val="16"/>
        </w:rPr>
      </w:pPr>
    </w:p>
    <w:p w14:paraId="738B5378" w14:textId="77777777" w:rsidR="004108C3" w:rsidRPr="008423E4" w:rsidRDefault="004108C3" w:rsidP="00721DD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954F" w14:textId="77777777" w:rsidR="00000000" w:rsidRDefault="005F650A">
      <w:r>
        <w:separator/>
      </w:r>
    </w:p>
  </w:endnote>
  <w:endnote w:type="continuationSeparator" w:id="0">
    <w:p w14:paraId="7FCCF030" w14:textId="77777777" w:rsidR="00000000" w:rsidRDefault="005F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49B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51F36" w14:paraId="19ABD88D" w14:textId="77777777" w:rsidTr="009C1E9A">
      <w:trPr>
        <w:cantSplit/>
      </w:trPr>
      <w:tc>
        <w:tcPr>
          <w:tcW w:w="0" w:type="pct"/>
        </w:tcPr>
        <w:p w14:paraId="76DE7F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C016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27C87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42DB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EA5A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1F36" w14:paraId="776CFFBD" w14:textId="77777777" w:rsidTr="009C1E9A">
      <w:trPr>
        <w:cantSplit/>
      </w:trPr>
      <w:tc>
        <w:tcPr>
          <w:tcW w:w="0" w:type="pct"/>
        </w:tcPr>
        <w:p w14:paraId="709F69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8CCFD1" w14:textId="25595DBF" w:rsidR="00EC379B" w:rsidRPr="009C1E9A" w:rsidRDefault="005F650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31310-D</w:t>
          </w:r>
        </w:p>
      </w:tc>
      <w:tc>
        <w:tcPr>
          <w:tcW w:w="2453" w:type="pct"/>
        </w:tcPr>
        <w:p w14:paraId="6B0D4716" w14:textId="12784D82" w:rsidR="00EC379B" w:rsidRDefault="005F65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07B9E">
            <w:t>23.138.645</w:t>
          </w:r>
          <w:r>
            <w:fldChar w:fldCharType="end"/>
          </w:r>
        </w:p>
      </w:tc>
    </w:tr>
    <w:tr w:rsidR="00851F36" w14:paraId="0BE55786" w14:textId="77777777" w:rsidTr="009C1E9A">
      <w:trPr>
        <w:cantSplit/>
      </w:trPr>
      <w:tc>
        <w:tcPr>
          <w:tcW w:w="0" w:type="pct"/>
        </w:tcPr>
        <w:p w14:paraId="2B9BF37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8D7F52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FE563C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3114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1F36" w14:paraId="7B39AE4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85B58F6" w14:textId="77777777" w:rsidR="00EC379B" w:rsidRDefault="005F650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70D8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E08F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5A4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73C0" w14:textId="77777777" w:rsidR="00000000" w:rsidRDefault="005F650A">
      <w:r>
        <w:separator/>
      </w:r>
    </w:p>
  </w:footnote>
  <w:footnote w:type="continuationSeparator" w:id="0">
    <w:p w14:paraId="3EDD0660" w14:textId="77777777" w:rsidR="00000000" w:rsidRDefault="005F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1E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AFF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F5F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B11"/>
    <w:multiLevelType w:val="hybridMultilevel"/>
    <w:tmpl w:val="DFC05816"/>
    <w:lvl w:ilvl="0" w:tplc="9A2C2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C7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CD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E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6A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49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85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EF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08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4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0EC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AE5"/>
    <w:rsid w:val="000E7C14"/>
    <w:rsid w:val="000F094C"/>
    <w:rsid w:val="000F1392"/>
    <w:rsid w:val="000F18A2"/>
    <w:rsid w:val="000F2A7F"/>
    <w:rsid w:val="000F3DBD"/>
    <w:rsid w:val="000F5843"/>
    <w:rsid w:val="000F6A06"/>
    <w:rsid w:val="000F7FD7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6BD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E29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5E69"/>
    <w:rsid w:val="00267841"/>
    <w:rsid w:val="00270A6E"/>
    <w:rsid w:val="002710C3"/>
    <w:rsid w:val="002732E0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5D4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2AF4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2A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E17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D4D"/>
    <w:rsid w:val="004E47F2"/>
    <w:rsid w:val="004E4E2B"/>
    <w:rsid w:val="004E5945"/>
    <w:rsid w:val="004E5D4F"/>
    <w:rsid w:val="004E5DEA"/>
    <w:rsid w:val="004E6639"/>
    <w:rsid w:val="004E6BAE"/>
    <w:rsid w:val="004F1C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2EF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A2D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50A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1F6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DDF"/>
    <w:rsid w:val="00722EC5"/>
    <w:rsid w:val="00723326"/>
    <w:rsid w:val="00724252"/>
    <w:rsid w:val="00727E7A"/>
    <w:rsid w:val="0073163C"/>
    <w:rsid w:val="00731DE3"/>
    <w:rsid w:val="00735B9D"/>
    <w:rsid w:val="007365A5"/>
    <w:rsid w:val="007368B4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BCD"/>
    <w:rsid w:val="0078552A"/>
    <w:rsid w:val="00785729"/>
    <w:rsid w:val="00786058"/>
    <w:rsid w:val="0078666F"/>
    <w:rsid w:val="00790D2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A8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276"/>
    <w:rsid w:val="00835628"/>
    <w:rsid w:val="008358E9"/>
    <w:rsid w:val="00835E90"/>
    <w:rsid w:val="0084176D"/>
    <w:rsid w:val="008423E4"/>
    <w:rsid w:val="00842900"/>
    <w:rsid w:val="00850CF0"/>
    <w:rsid w:val="00851869"/>
    <w:rsid w:val="00851C04"/>
    <w:rsid w:val="00851F36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1FC"/>
    <w:rsid w:val="00874C05"/>
    <w:rsid w:val="0087588B"/>
    <w:rsid w:val="0087680A"/>
    <w:rsid w:val="008806EB"/>
    <w:rsid w:val="00882215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2B7"/>
    <w:rsid w:val="008A3FDF"/>
    <w:rsid w:val="008A6418"/>
    <w:rsid w:val="008B05D8"/>
    <w:rsid w:val="008B0B3D"/>
    <w:rsid w:val="008B10FB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026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3BD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8D5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162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D0F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07B9E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421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857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4FE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D2C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650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7F8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C9E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51A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6F7"/>
    <w:rsid w:val="00E1228E"/>
    <w:rsid w:val="00E13374"/>
    <w:rsid w:val="00E14079"/>
    <w:rsid w:val="00E15F90"/>
    <w:rsid w:val="00E16CC0"/>
    <w:rsid w:val="00E16D3E"/>
    <w:rsid w:val="00E17167"/>
    <w:rsid w:val="00E17195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C05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887"/>
    <w:rsid w:val="00E93DEF"/>
    <w:rsid w:val="00E947B1"/>
    <w:rsid w:val="00E96852"/>
    <w:rsid w:val="00EA16AC"/>
    <w:rsid w:val="00EA385A"/>
    <w:rsid w:val="00EA3931"/>
    <w:rsid w:val="00EA5C76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980"/>
    <w:rsid w:val="00ED0665"/>
    <w:rsid w:val="00ED12C0"/>
    <w:rsid w:val="00ED19F0"/>
    <w:rsid w:val="00ED2B50"/>
    <w:rsid w:val="00ED3A32"/>
    <w:rsid w:val="00ED3BDE"/>
    <w:rsid w:val="00ED4CDB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600C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C6BB9A-7875-4261-B066-9643022D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67C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7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7C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7C05"/>
    <w:rPr>
      <w:b/>
      <w:bCs/>
    </w:rPr>
  </w:style>
  <w:style w:type="paragraph" w:styleId="Revision">
    <w:name w:val="Revision"/>
    <w:hidden/>
    <w:uiPriority w:val="99"/>
    <w:semiHidden/>
    <w:rsid w:val="00CB665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4105</Characters>
  <Application>Microsoft Office Word</Application>
  <DocSecurity>4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SB01173 (Committee Report (Unamended))</vt:lpstr>
    </vt:vector>
  </TitlesOfParts>
  <Company>State of Texas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31310</dc:subject>
  <dc:creator>State of Texas</dc:creator>
  <dc:description>SB 1173 by Huffman-(H)Judiciary &amp; Civil Jurisprudence</dc:description>
  <cp:lastModifiedBy>Damian Duarte</cp:lastModifiedBy>
  <cp:revision>2</cp:revision>
  <cp:lastPrinted>2003-11-26T17:21:00Z</cp:lastPrinted>
  <dcterms:created xsi:type="dcterms:W3CDTF">2023-05-18T19:48:00Z</dcterms:created>
  <dcterms:modified xsi:type="dcterms:W3CDTF">2023-05-18T19:48:00Z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23.138.645</vt:lpwstr>
  </property>
</Properties>
</file>