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32682" w14:paraId="04C32C52" w14:textId="77777777" w:rsidTr="00345119">
        <w:tc>
          <w:tcPr>
            <w:tcW w:w="9576" w:type="dxa"/>
            <w:noWrap/>
          </w:tcPr>
          <w:p w14:paraId="03DE5DDA" w14:textId="77777777" w:rsidR="008423E4" w:rsidRPr="0022177D" w:rsidRDefault="00B46C90" w:rsidP="00407218">
            <w:pPr>
              <w:pStyle w:val="Heading1"/>
            </w:pPr>
            <w:r w:rsidRPr="00631897">
              <w:t>BILL ANALYSIS</w:t>
            </w:r>
          </w:p>
        </w:tc>
      </w:tr>
    </w:tbl>
    <w:p w14:paraId="4E87FB23" w14:textId="77777777" w:rsidR="008423E4" w:rsidRPr="0022177D" w:rsidRDefault="008423E4" w:rsidP="00407218">
      <w:pPr>
        <w:jc w:val="center"/>
      </w:pPr>
    </w:p>
    <w:p w14:paraId="51BA5424" w14:textId="77777777" w:rsidR="008423E4" w:rsidRPr="00B31F0E" w:rsidRDefault="008423E4" w:rsidP="00407218"/>
    <w:p w14:paraId="743ACE87" w14:textId="77777777" w:rsidR="008423E4" w:rsidRPr="00742794" w:rsidRDefault="008423E4" w:rsidP="0040721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2682" w14:paraId="42D63383" w14:textId="77777777" w:rsidTr="00345119">
        <w:tc>
          <w:tcPr>
            <w:tcW w:w="9576" w:type="dxa"/>
          </w:tcPr>
          <w:p w14:paraId="0F120F00" w14:textId="2ED3872F" w:rsidR="008423E4" w:rsidRPr="00861995" w:rsidRDefault="00B46C90" w:rsidP="00407218">
            <w:pPr>
              <w:jc w:val="right"/>
            </w:pPr>
            <w:r>
              <w:t>S.B. 1186</w:t>
            </w:r>
          </w:p>
        </w:tc>
      </w:tr>
      <w:tr w:rsidR="00732682" w14:paraId="7542CDA3" w14:textId="77777777" w:rsidTr="00345119">
        <w:tc>
          <w:tcPr>
            <w:tcW w:w="9576" w:type="dxa"/>
          </w:tcPr>
          <w:p w14:paraId="2E83117E" w14:textId="5BB085AD" w:rsidR="008423E4" w:rsidRPr="00861995" w:rsidRDefault="00B46C90" w:rsidP="00407218">
            <w:pPr>
              <w:jc w:val="right"/>
            </w:pPr>
            <w:r>
              <w:t xml:space="preserve">By: </w:t>
            </w:r>
            <w:r w:rsidR="00B32CBA">
              <w:t>Hughes</w:t>
            </w:r>
          </w:p>
        </w:tc>
      </w:tr>
      <w:tr w:rsidR="00732682" w14:paraId="583730A7" w14:textId="77777777" w:rsidTr="00345119">
        <w:tc>
          <w:tcPr>
            <w:tcW w:w="9576" w:type="dxa"/>
          </w:tcPr>
          <w:p w14:paraId="1ED7CF44" w14:textId="04171E40" w:rsidR="008423E4" w:rsidRPr="00861995" w:rsidRDefault="00B46C90" w:rsidP="00407218">
            <w:pPr>
              <w:jc w:val="right"/>
            </w:pPr>
            <w:r>
              <w:t>Energy Resources</w:t>
            </w:r>
          </w:p>
        </w:tc>
      </w:tr>
      <w:tr w:rsidR="00732682" w14:paraId="6C0958D0" w14:textId="77777777" w:rsidTr="00345119">
        <w:tc>
          <w:tcPr>
            <w:tcW w:w="9576" w:type="dxa"/>
          </w:tcPr>
          <w:p w14:paraId="58526569" w14:textId="4AEF5382" w:rsidR="008423E4" w:rsidRDefault="00B46C90" w:rsidP="00407218">
            <w:pPr>
              <w:jc w:val="right"/>
            </w:pPr>
            <w:r>
              <w:t>Committee Report (Unamended)</w:t>
            </w:r>
          </w:p>
        </w:tc>
      </w:tr>
    </w:tbl>
    <w:p w14:paraId="3DA12471" w14:textId="77777777" w:rsidR="008423E4" w:rsidRDefault="008423E4" w:rsidP="00407218">
      <w:pPr>
        <w:tabs>
          <w:tab w:val="right" w:pos="9360"/>
        </w:tabs>
      </w:pPr>
    </w:p>
    <w:p w14:paraId="69FFC6B5" w14:textId="77777777" w:rsidR="008423E4" w:rsidRDefault="008423E4" w:rsidP="00407218"/>
    <w:p w14:paraId="14770EC9" w14:textId="77777777" w:rsidR="008423E4" w:rsidRDefault="008423E4" w:rsidP="0040721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32682" w14:paraId="0BBEACCC" w14:textId="77777777" w:rsidTr="00345119">
        <w:tc>
          <w:tcPr>
            <w:tcW w:w="9576" w:type="dxa"/>
          </w:tcPr>
          <w:p w14:paraId="367EE041" w14:textId="77777777" w:rsidR="008423E4" w:rsidRPr="00A8133F" w:rsidRDefault="00B46C90" w:rsidP="0040721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6DF009" w14:textId="77777777" w:rsidR="008423E4" w:rsidRDefault="008423E4" w:rsidP="00407218"/>
          <w:p w14:paraId="609E5B9D" w14:textId="4B839173" w:rsidR="008423E4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demand for lithium has increased dramatically over the last ten years as the element is a crucial component of the batteries that </w:t>
            </w:r>
            <w:r>
              <w:t>power many consumer and industrial electronics. This increased demand has fueled a worldwide search for new sources of lithium, with one of these sources being deep brine aquifers in Texas. Under current law, the Railroad Commission of Texas (RRC) has juri</w:t>
            </w:r>
            <w:r>
              <w:t>sdiction over Class III brine mining wells. However, there exists a different kind of brine mining</w:t>
            </w:r>
            <w:r w:rsidR="00EC414E">
              <w:t xml:space="preserve"> that involves</w:t>
            </w:r>
            <w:r>
              <w:t xml:space="preserve"> the production of naturally occurring brine from subsurface aquifers </w:t>
            </w:r>
            <w:r w:rsidR="00EC414E">
              <w:t>for</w:t>
            </w:r>
            <w:r>
              <w:t xml:space="preserve"> </w:t>
            </w:r>
            <w:r w:rsidR="00EC414E">
              <w:t xml:space="preserve">mineral </w:t>
            </w:r>
            <w:r>
              <w:t>extract</w:t>
            </w:r>
            <w:r w:rsidR="00EC414E">
              <w:t xml:space="preserve">ion that </w:t>
            </w:r>
            <w:r w:rsidR="006B4182">
              <w:t>involves</w:t>
            </w:r>
            <w:r w:rsidR="00EC414E">
              <w:t xml:space="preserve"> a Class V injection well</w:t>
            </w:r>
            <w:r>
              <w:t xml:space="preserve">. </w:t>
            </w:r>
            <w:r w:rsidR="00EC414E">
              <w:t>While t</w:t>
            </w:r>
            <w:r>
              <w:t>he R</w:t>
            </w:r>
            <w:r>
              <w:t xml:space="preserve">RC has authority over this type of brine mining, it has not yet sought </w:t>
            </w:r>
            <w:r w:rsidR="00EC414E">
              <w:t xml:space="preserve">the </w:t>
            </w:r>
            <w:r>
              <w:t>delegation</w:t>
            </w:r>
            <w:r w:rsidR="00EC414E">
              <w:t xml:space="preserve"> of authority </w:t>
            </w:r>
            <w:r w:rsidR="003031E2">
              <w:t>over</w:t>
            </w:r>
            <w:r w:rsidR="00EC414E">
              <w:t xml:space="preserve"> such</w:t>
            </w:r>
            <w:r>
              <w:t xml:space="preserve"> wells. S</w:t>
            </w:r>
            <w:r w:rsidR="00F15617">
              <w:t>.</w:t>
            </w:r>
            <w:r>
              <w:t>B</w:t>
            </w:r>
            <w:r w:rsidR="00F15617">
              <w:t>.</w:t>
            </w:r>
            <w:r w:rsidR="00226069">
              <w:t> </w:t>
            </w:r>
            <w:r>
              <w:t xml:space="preserve">1186 seeks to </w:t>
            </w:r>
            <w:r w:rsidR="00EC414E">
              <w:t>address this issue by requiring the R</w:t>
            </w:r>
            <w:r w:rsidR="00077C5F">
              <w:t>R</w:t>
            </w:r>
            <w:r w:rsidR="00EC414E">
              <w:t xml:space="preserve">C, </w:t>
            </w:r>
            <w:r w:rsidR="00EC414E" w:rsidRPr="00EC414E">
              <w:t xml:space="preserve">if </w:t>
            </w:r>
            <w:r w:rsidR="00EC414E">
              <w:t xml:space="preserve">applicable </w:t>
            </w:r>
            <w:r w:rsidR="003031E2">
              <w:t xml:space="preserve">federal </w:t>
            </w:r>
            <w:r w:rsidR="00EC414E" w:rsidRPr="00EC414E">
              <w:t xml:space="preserve">rules or regulations </w:t>
            </w:r>
            <w:r w:rsidR="003031E2" w:rsidRPr="003031E2">
              <w:t>adopted to govern Class V brine injection wells</w:t>
            </w:r>
            <w:r w:rsidR="003031E2">
              <w:t xml:space="preserve"> </w:t>
            </w:r>
            <w:r w:rsidR="00EC414E" w:rsidRPr="00EC414E">
              <w:t xml:space="preserve">allow the state to seek primary enforcement authority under the </w:t>
            </w:r>
            <w:r w:rsidR="00F15617">
              <w:t xml:space="preserve">RRC's </w:t>
            </w:r>
            <w:r w:rsidR="00EC414E" w:rsidRPr="00EC414E">
              <w:t xml:space="preserve">underground injection control program, to seek primacy to administer and enforce the program for </w:t>
            </w:r>
            <w:r w:rsidR="003031E2">
              <w:t>such</w:t>
            </w:r>
            <w:r w:rsidR="00EC414E" w:rsidRPr="00EC414E">
              <w:t xml:space="preserve"> wells in Texas.</w:t>
            </w:r>
            <w:r w:rsidR="00F15617">
              <w:t xml:space="preserve"> </w:t>
            </w:r>
          </w:p>
          <w:p w14:paraId="362D87C7" w14:textId="77777777" w:rsidR="008423E4" w:rsidRPr="00E26B13" w:rsidRDefault="008423E4" w:rsidP="00407218">
            <w:pPr>
              <w:rPr>
                <w:b/>
              </w:rPr>
            </w:pPr>
          </w:p>
        </w:tc>
      </w:tr>
      <w:tr w:rsidR="00732682" w14:paraId="5F646664" w14:textId="77777777" w:rsidTr="00345119">
        <w:tc>
          <w:tcPr>
            <w:tcW w:w="9576" w:type="dxa"/>
          </w:tcPr>
          <w:p w14:paraId="2CF7B6DF" w14:textId="77777777" w:rsidR="0017725B" w:rsidRDefault="00B46C90" w:rsidP="004072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2F5BA9" w14:textId="77777777" w:rsidR="0017725B" w:rsidRDefault="0017725B" w:rsidP="00407218">
            <w:pPr>
              <w:rPr>
                <w:b/>
                <w:u w:val="single"/>
              </w:rPr>
            </w:pPr>
          </w:p>
          <w:p w14:paraId="214824A5" w14:textId="67B2846A" w:rsidR="001D5780" w:rsidRPr="001D5780" w:rsidRDefault="00B46C90" w:rsidP="0040721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0542668A" w14:textId="77777777" w:rsidR="0017725B" w:rsidRPr="0017725B" w:rsidRDefault="0017725B" w:rsidP="00407218">
            <w:pPr>
              <w:rPr>
                <w:b/>
                <w:u w:val="single"/>
              </w:rPr>
            </w:pPr>
          </w:p>
        </w:tc>
      </w:tr>
      <w:tr w:rsidR="00732682" w14:paraId="1E33B2F0" w14:textId="77777777" w:rsidTr="00345119">
        <w:tc>
          <w:tcPr>
            <w:tcW w:w="9576" w:type="dxa"/>
          </w:tcPr>
          <w:p w14:paraId="29B8F541" w14:textId="77777777" w:rsidR="008423E4" w:rsidRPr="00A8133F" w:rsidRDefault="00B46C90" w:rsidP="0040721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A579CF" w14:textId="77777777" w:rsidR="008423E4" w:rsidRDefault="008423E4" w:rsidP="00407218"/>
          <w:p w14:paraId="7F16B4C7" w14:textId="2522294F" w:rsidR="001D5780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73B6AC" w14:textId="77777777" w:rsidR="008423E4" w:rsidRPr="00E21FDC" w:rsidRDefault="008423E4" w:rsidP="00407218">
            <w:pPr>
              <w:rPr>
                <w:b/>
              </w:rPr>
            </w:pPr>
          </w:p>
        </w:tc>
      </w:tr>
      <w:tr w:rsidR="00732682" w14:paraId="45BA6211" w14:textId="77777777" w:rsidTr="00345119">
        <w:tc>
          <w:tcPr>
            <w:tcW w:w="9576" w:type="dxa"/>
          </w:tcPr>
          <w:p w14:paraId="40645B7B" w14:textId="77777777" w:rsidR="008423E4" w:rsidRPr="00A8133F" w:rsidRDefault="00B46C90" w:rsidP="0040721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51663A9" w14:textId="77777777" w:rsidR="008423E4" w:rsidRDefault="008423E4" w:rsidP="00407218"/>
          <w:p w14:paraId="10CB2E30" w14:textId="0A255997" w:rsidR="00AB38B3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1186</w:t>
            </w:r>
            <w:r w:rsidR="00AD5B3E">
              <w:t xml:space="preserve"> amends the </w:t>
            </w:r>
            <w:r w:rsidR="00AD5B3E" w:rsidRPr="00AD5B3E">
              <w:t>Water Code</w:t>
            </w:r>
            <w:r w:rsidR="00AD5B3E">
              <w:t xml:space="preserve"> to authorize the </w:t>
            </w:r>
            <w:r w:rsidR="00AD5B3E" w:rsidRPr="00AD5B3E">
              <w:t>Railroad Commission of Texas (RRC)</w:t>
            </w:r>
            <w:r w:rsidR="00AD5B3E">
              <w:t xml:space="preserve"> to issue permits for </w:t>
            </w:r>
            <w:r w:rsidR="00AD5B3E" w:rsidRPr="00AD5B3E">
              <w:t>brine production wells</w:t>
            </w:r>
            <w:r w:rsidR="00AD5B3E">
              <w:t>.</w:t>
            </w:r>
            <w:r w:rsidR="0032332C">
              <w:t xml:space="preserve"> </w:t>
            </w:r>
            <w:r w:rsidR="00CF165D">
              <w:t>The bill repeal</w:t>
            </w:r>
            <w:r w:rsidR="00360F98">
              <w:t>s a</w:t>
            </w:r>
            <w:r w:rsidR="00CF165D">
              <w:t xml:space="preserve"> provision </w:t>
            </w:r>
            <w:r w:rsidR="00360F98">
              <w:t>t</w:t>
            </w:r>
            <w:r w:rsidR="00CF165D">
              <w:t>hat designate</w:t>
            </w:r>
            <w:r w:rsidR="00360F98">
              <w:t>s</w:t>
            </w:r>
            <w:r w:rsidR="00CF165D">
              <w:t>, for purposes of RRC regulation, an injection well for brine mining as a Class V well under the RRC's</w:t>
            </w:r>
            <w:r w:rsidR="00CF165D" w:rsidRPr="00CF165D">
              <w:t xml:space="preserve"> underground injection control program</w:t>
            </w:r>
            <w:r w:rsidR="00EA15DA">
              <w:t>. That repealed</w:t>
            </w:r>
            <w:r w:rsidR="007C142C">
              <w:t xml:space="preserve"> provision</w:t>
            </w:r>
            <w:r w:rsidR="00360F98">
              <w:t xml:space="preserve"> conflict</w:t>
            </w:r>
            <w:r w:rsidR="00EA15DA">
              <w:t>s</w:t>
            </w:r>
            <w:r w:rsidR="00360F98">
              <w:t xml:space="preserve"> with another statutory provision that designates such an injection well as a Class III well under the program. The bill retains the Class III </w:t>
            </w:r>
            <w:r w:rsidR="00FF3480">
              <w:t xml:space="preserve">well </w:t>
            </w:r>
            <w:r w:rsidR="00360F98">
              <w:t>designation</w:t>
            </w:r>
            <w:r w:rsidR="00E42C9E">
              <w:t xml:space="preserve"> for those wells</w:t>
            </w:r>
            <w:r w:rsidR="00360F98">
              <w:t xml:space="preserve"> but </w:t>
            </w:r>
            <w:r w:rsidR="00AD5B3E">
              <w:t>restricts th</w:t>
            </w:r>
            <w:r w:rsidR="00E42C9E">
              <w:t>os</w:t>
            </w:r>
            <w:r w:rsidR="00716005">
              <w:t>e</w:t>
            </w:r>
            <w:r w:rsidR="00AD5B3E">
              <w:t xml:space="preserve"> wells</w:t>
            </w:r>
            <w:r w:rsidR="00E42C9E">
              <w:t xml:space="preserve"> designated as such</w:t>
            </w:r>
            <w:r w:rsidR="00716005">
              <w:t xml:space="preserve"> </w:t>
            </w:r>
            <w:r w:rsidR="00E42C9E">
              <w:t>t</w:t>
            </w:r>
            <w:r w:rsidR="00AD5B3E">
              <w:t xml:space="preserve">o only those wells for the mining of </w:t>
            </w:r>
            <w:r w:rsidR="00AD5B3E" w:rsidRPr="00AD5B3E">
              <w:t>brine extracted by the solution of a subsurface salt formation</w:t>
            </w:r>
            <w:r w:rsidR="00D575BB">
              <w:t>.</w:t>
            </w:r>
            <w:r w:rsidR="00EA15DA">
              <w:t xml:space="preserve"> </w:t>
            </w:r>
            <w:r w:rsidR="00EA2C46">
              <w:t>The bill, for purposes of provisions relating to brine mining</w:t>
            </w:r>
            <w:r w:rsidR="007C142C">
              <w:t xml:space="preserve"> jurisdiction</w:t>
            </w:r>
            <w:r w:rsidR="00EA2C46">
              <w:t xml:space="preserve">, defines </w:t>
            </w:r>
            <w:r w:rsidR="00EA2C46" w:rsidRPr="00EA2C46">
              <w:t>"</w:t>
            </w:r>
            <w:r w:rsidR="00EA2C46">
              <w:t>b</w:t>
            </w:r>
            <w:r w:rsidR="00EA2C46" w:rsidRPr="00EA2C46">
              <w:t xml:space="preserve">rine mining" </w:t>
            </w:r>
            <w:r w:rsidR="00EA2C46">
              <w:t>a</w:t>
            </w:r>
            <w:r w:rsidR="00EA2C46" w:rsidRPr="00EA2C46">
              <w:t>s the production of brine, including naturally occurring brine and brine extracted by the solution of a subsurface salt formation, for the purpose of extracting</w:t>
            </w:r>
            <w:r>
              <w:t xml:space="preserve"> </w:t>
            </w:r>
            <w:r w:rsidRPr="0010319C">
              <w:t>from a subsurface formation</w:t>
            </w:r>
            <w:r w:rsidR="00EA2C46" w:rsidRPr="00EA2C46">
              <w:t xml:space="preserve"> elements, salts, or other useful substances</w:t>
            </w:r>
            <w:r>
              <w:t>, not including the following:</w:t>
            </w:r>
          </w:p>
          <w:p w14:paraId="148A6E4B" w14:textId="70595389" w:rsidR="00AB38B3" w:rsidRDefault="00B46C90" w:rsidP="0040721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oil, gas, or any prod</w:t>
            </w:r>
            <w:r>
              <w:t>uct of oil or gas as defined by provisions relating to the conservation of oil and gas; or</w:t>
            </w:r>
          </w:p>
          <w:p w14:paraId="65072069" w14:textId="55EAA7D5" w:rsidR="00EA2C46" w:rsidRDefault="00B46C90" w:rsidP="0040721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fluid oil and gas waste, as defined by provisions relating to the </w:t>
            </w:r>
            <w:r w:rsidRPr="00AB38B3">
              <w:t>treatment and recycling for beneficial use of fluid oil and gas waste</w:t>
            </w:r>
            <w:r w:rsidR="003D25DC">
              <w:t>.</w:t>
            </w:r>
          </w:p>
          <w:p w14:paraId="26A9EFDD" w14:textId="2637A121" w:rsidR="00D575BB" w:rsidRDefault="00D575BB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2D7B57" w14:textId="09F9BD03" w:rsidR="003D25DC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1186</w:t>
            </w:r>
            <w:r w:rsidRPr="003D25DC">
              <w:t xml:space="preserve">, for purposes of </w:t>
            </w:r>
            <w:r w:rsidRPr="003D25DC">
              <w:t>RRC regulation, designates a Class V brine injection well as a Class</w:t>
            </w:r>
            <w:r w:rsidR="00283E39">
              <w:t> </w:t>
            </w:r>
            <w:r w:rsidRPr="003D25DC">
              <w:t>V well under the RRC's underground injection control program.</w:t>
            </w:r>
            <w:r>
              <w:t xml:space="preserve"> The bill defines </w:t>
            </w:r>
            <w:r w:rsidRPr="003D25DC">
              <w:t>"</w:t>
            </w:r>
            <w:r>
              <w:t>C</w:t>
            </w:r>
            <w:r w:rsidRPr="003D25DC">
              <w:t xml:space="preserve">lass V brine injection well" </w:t>
            </w:r>
            <w:r>
              <w:t>a</w:t>
            </w:r>
            <w:r w:rsidRPr="003D25DC">
              <w:t>s a well that injects spent, naturally occurring brine produced by a brine m</w:t>
            </w:r>
            <w:r w:rsidRPr="003D25DC">
              <w:t>ining operation into the same formation from which it was withdrawn after extraction of elements, salts, or other useful substances, including halogens or halogen salts.</w:t>
            </w:r>
          </w:p>
          <w:p w14:paraId="41A46808" w14:textId="77777777" w:rsidR="003D25DC" w:rsidRDefault="003D25DC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C4DF8F" w14:textId="78EBBD5E" w:rsidR="00EA2C46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1186</w:t>
            </w:r>
            <w:r w:rsidR="007C142C">
              <w:t>, i</w:t>
            </w:r>
            <w:r w:rsidR="00D575BB" w:rsidRPr="00D575BB">
              <w:t>f rules or regulations adopted to govern Class V brine injection wells under the federal Safe Drinking Water Act or another federal statute allow th</w:t>
            </w:r>
            <w:r w:rsidR="00D575BB">
              <w:t>e</w:t>
            </w:r>
            <w:r w:rsidR="00D575BB" w:rsidRPr="00D575BB">
              <w:t xml:space="preserve"> state to seek primary enforcement authority under the underground injection control program, </w:t>
            </w:r>
            <w:r w:rsidR="00D575BB">
              <w:t xml:space="preserve">requires </w:t>
            </w:r>
            <w:r w:rsidR="00D575BB" w:rsidRPr="00D575BB">
              <w:t xml:space="preserve">the </w:t>
            </w:r>
            <w:r w:rsidR="00D575BB">
              <w:t>RRC</w:t>
            </w:r>
            <w:r w:rsidR="00D575BB" w:rsidRPr="00D575BB">
              <w:t xml:space="preserve"> </w:t>
            </w:r>
            <w:r w:rsidR="00D575BB">
              <w:t>to</w:t>
            </w:r>
            <w:r w:rsidR="00D575BB" w:rsidRPr="00D575BB">
              <w:t xml:space="preserve"> seek primacy to administer and enforce the program for Class V brine injection </w:t>
            </w:r>
            <w:r w:rsidR="00D575BB" w:rsidRPr="0008490E">
              <w:t>wells</w:t>
            </w:r>
            <w:r w:rsidR="001962C4">
              <w:t xml:space="preserve"> in Texas</w:t>
            </w:r>
            <w:r w:rsidR="00D575BB" w:rsidRPr="0008490E">
              <w:t>.</w:t>
            </w:r>
            <w:r w:rsidR="007C142C" w:rsidRPr="0008490E">
              <w:t xml:space="preserve"> </w:t>
            </w:r>
          </w:p>
          <w:p w14:paraId="7AF053EA" w14:textId="6BB6D080" w:rsidR="00D575BB" w:rsidRDefault="00D575BB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EF5F5F" w14:textId="6BB8B158" w:rsidR="00EA15DA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1186</w:t>
            </w:r>
            <w:r w:rsidR="00A26ACA">
              <w:t xml:space="preserve"> prohibits a person, o</w:t>
            </w:r>
            <w:r w:rsidR="00A26ACA" w:rsidRPr="00A26ACA">
              <w:t xml:space="preserve">n delegation to the </w:t>
            </w:r>
            <w:r w:rsidR="00A26ACA">
              <w:t>RRC</w:t>
            </w:r>
            <w:r w:rsidR="00A26ACA" w:rsidRPr="00A26ACA">
              <w:t xml:space="preserve"> of primary enforcement authority in </w:t>
            </w:r>
            <w:r w:rsidR="00A26ACA">
              <w:t>Texas</w:t>
            </w:r>
            <w:r w:rsidR="00A26ACA" w:rsidRPr="00A26ACA">
              <w:t xml:space="preserve"> over Class V brine injection wells, </w:t>
            </w:r>
            <w:r w:rsidR="00A26ACA">
              <w:t>from</w:t>
            </w:r>
            <w:r w:rsidR="00A26ACA" w:rsidRPr="00A26ACA">
              <w:t xml:space="preserve"> begin</w:t>
            </w:r>
            <w:r w:rsidR="00A26ACA">
              <w:t>ning</w:t>
            </w:r>
            <w:r w:rsidR="00A26ACA" w:rsidRPr="00A26ACA">
              <w:t xml:space="preserve"> to drill a</w:t>
            </w:r>
            <w:r>
              <w:t xml:space="preserve"> Class V brine</w:t>
            </w:r>
            <w:r w:rsidR="00A26ACA" w:rsidRPr="00A26ACA">
              <w:t xml:space="preserve"> injection well unless that person has a valid permit for the well issued by the </w:t>
            </w:r>
            <w:r w:rsidR="00A26ACA">
              <w:t>RRC</w:t>
            </w:r>
            <w:r w:rsidR="00A26ACA" w:rsidRPr="00A26ACA">
              <w:t>.</w:t>
            </w:r>
            <w:r>
              <w:t xml:space="preserve"> </w:t>
            </w:r>
          </w:p>
          <w:p w14:paraId="102E8F7A" w14:textId="70622F41" w:rsidR="001962C4" w:rsidRDefault="001962C4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899BB8" w14:textId="2B5A0386" w:rsidR="00F071C2" w:rsidRPr="009C36CD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1186 repeals </w:t>
            </w:r>
            <w:r w:rsidRPr="00F071C2">
              <w:t>Section 27.036, Water Code, as added by Chapter 795 (S.B. 249), Acts of the 69th Legislature, Regular Session, 1985.</w:t>
            </w:r>
          </w:p>
          <w:p w14:paraId="6686355F" w14:textId="77777777" w:rsidR="008423E4" w:rsidRPr="00835628" w:rsidRDefault="008423E4" w:rsidP="00407218">
            <w:pPr>
              <w:rPr>
                <w:b/>
              </w:rPr>
            </w:pPr>
          </w:p>
        </w:tc>
      </w:tr>
      <w:tr w:rsidR="00732682" w14:paraId="6D504AF2" w14:textId="77777777" w:rsidTr="00345119">
        <w:tc>
          <w:tcPr>
            <w:tcW w:w="9576" w:type="dxa"/>
          </w:tcPr>
          <w:p w14:paraId="1A50F6E0" w14:textId="77777777" w:rsidR="008423E4" w:rsidRPr="00A8133F" w:rsidRDefault="00B46C90" w:rsidP="0040721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F1BBAE7" w14:textId="77777777" w:rsidR="008423E4" w:rsidRDefault="008423E4" w:rsidP="00407218"/>
          <w:p w14:paraId="55DE0D5A" w14:textId="3794CC73" w:rsidR="008423E4" w:rsidRPr="003624F2" w:rsidRDefault="00B46C90" w:rsidP="004072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42B322F1" w14:textId="77777777" w:rsidR="008423E4" w:rsidRPr="00233FDB" w:rsidRDefault="008423E4" w:rsidP="00407218">
            <w:pPr>
              <w:rPr>
                <w:b/>
              </w:rPr>
            </w:pPr>
          </w:p>
        </w:tc>
      </w:tr>
    </w:tbl>
    <w:p w14:paraId="3C58061F" w14:textId="77777777" w:rsidR="008423E4" w:rsidRPr="00BE0E75" w:rsidRDefault="008423E4" w:rsidP="00407218">
      <w:pPr>
        <w:jc w:val="both"/>
        <w:rPr>
          <w:rFonts w:ascii="Arial" w:hAnsi="Arial"/>
          <w:sz w:val="16"/>
          <w:szCs w:val="16"/>
        </w:rPr>
      </w:pPr>
    </w:p>
    <w:p w14:paraId="17EFB5CC" w14:textId="77777777" w:rsidR="004108C3" w:rsidRPr="008423E4" w:rsidRDefault="004108C3" w:rsidP="0040721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E516" w14:textId="77777777" w:rsidR="00000000" w:rsidRDefault="00B46C90">
      <w:r>
        <w:separator/>
      </w:r>
    </w:p>
  </w:endnote>
  <w:endnote w:type="continuationSeparator" w:id="0">
    <w:p w14:paraId="2C38074F" w14:textId="77777777" w:rsidR="00000000" w:rsidRDefault="00B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09E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2682" w14:paraId="1C471575" w14:textId="77777777" w:rsidTr="009C1E9A">
      <w:trPr>
        <w:cantSplit/>
      </w:trPr>
      <w:tc>
        <w:tcPr>
          <w:tcW w:w="0" w:type="pct"/>
        </w:tcPr>
        <w:p w14:paraId="4D768D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17A9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E1927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BD08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0CEF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2682" w14:paraId="3564BF87" w14:textId="77777777" w:rsidTr="009C1E9A">
      <w:trPr>
        <w:cantSplit/>
      </w:trPr>
      <w:tc>
        <w:tcPr>
          <w:tcW w:w="0" w:type="pct"/>
        </w:tcPr>
        <w:p w14:paraId="6E0EE1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DE73BE" w14:textId="3918695B" w:rsidR="00EC379B" w:rsidRPr="009C1E9A" w:rsidRDefault="00B46C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28307-D</w:t>
          </w:r>
        </w:p>
      </w:tc>
      <w:tc>
        <w:tcPr>
          <w:tcW w:w="2453" w:type="pct"/>
        </w:tcPr>
        <w:p w14:paraId="300B1D03" w14:textId="44A5090A" w:rsidR="00EC379B" w:rsidRDefault="00B46C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7218">
            <w:t>23.125.1464</w:t>
          </w:r>
          <w:r>
            <w:fldChar w:fldCharType="end"/>
          </w:r>
        </w:p>
      </w:tc>
    </w:tr>
    <w:tr w:rsidR="00732682" w14:paraId="7BB17918" w14:textId="77777777" w:rsidTr="009C1E9A">
      <w:trPr>
        <w:cantSplit/>
      </w:trPr>
      <w:tc>
        <w:tcPr>
          <w:tcW w:w="0" w:type="pct"/>
        </w:tcPr>
        <w:p w14:paraId="751463C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458D6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94FACC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A3EC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2682" w14:paraId="65003F5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7F7EB5" w14:textId="77777777" w:rsidR="00EC379B" w:rsidRDefault="00B46C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2CE2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8BC8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664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59B2" w14:textId="77777777" w:rsidR="00000000" w:rsidRDefault="00B46C90">
      <w:r>
        <w:separator/>
      </w:r>
    </w:p>
  </w:footnote>
  <w:footnote w:type="continuationSeparator" w:id="0">
    <w:p w14:paraId="1A7C457F" w14:textId="77777777" w:rsidR="00000000" w:rsidRDefault="00B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901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D14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9A7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5A8"/>
    <w:multiLevelType w:val="hybridMultilevel"/>
    <w:tmpl w:val="65528ADE"/>
    <w:lvl w:ilvl="0" w:tplc="D50825D4">
      <w:start w:val="1"/>
      <w:numFmt w:val="upperLetter"/>
      <w:lvlText w:val="(%1)"/>
      <w:lvlJc w:val="left"/>
      <w:pPr>
        <w:ind w:left="848" w:hanging="488"/>
      </w:pPr>
      <w:rPr>
        <w:rFonts w:hint="default"/>
      </w:rPr>
    </w:lvl>
    <w:lvl w:ilvl="1" w:tplc="C09CAA54" w:tentative="1">
      <w:start w:val="1"/>
      <w:numFmt w:val="lowerLetter"/>
      <w:lvlText w:val="%2."/>
      <w:lvlJc w:val="left"/>
      <w:pPr>
        <w:ind w:left="1440" w:hanging="360"/>
      </w:pPr>
    </w:lvl>
    <w:lvl w:ilvl="2" w:tplc="C5C25482" w:tentative="1">
      <w:start w:val="1"/>
      <w:numFmt w:val="lowerRoman"/>
      <w:lvlText w:val="%3."/>
      <w:lvlJc w:val="right"/>
      <w:pPr>
        <w:ind w:left="2160" w:hanging="180"/>
      </w:pPr>
    </w:lvl>
    <w:lvl w:ilvl="3" w:tplc="8D5C6642" w:tentative="1">
      <w:start w:val="1"/>
      <w:numFmt w:val="decimal"/>
      <w:lvlText w:val="%4."/>
      <w:lvlJc w:val="left"/>
      <w:pPr>
        <w:ind w:left="2880" w:hanging="360"/>
      </w:pPr>
    </w:lvl>
    <w:lvl w:ilvl="4" w:tplc="83A83982" w:tentative="1">
      <w:start w:val="1"/>
      <w:numFmt w:val="lowerLetter"/>
      <w:lvlText w:val="%5."/>
      <w:lvlJc w:val="left"/>
      <w:pPr>
        <w:ind w:left="3600" w:hanging="360"/>
      </w:pPr>
    </w:lvl>
    <w:lvl w:ilvl="5" w:tplc="AED4676C" w:tentative="1">
      <w:start w:val="1"/>
      <w:numFmt w:val="lowerRoman"/>
      <w:lvlText w:val="%6."/>
      <w:lvlJc w:val="right"/>
      <w:pPr>
        <w:ind w:left="4320" w:hanging="180"/>
      </w:pPr>
    </w:lvl>
    <w:lvl w:ilvl="6" w:tplc="0C2673C4" w:tentative="1">
      <w:start w:val="1"/>
      <w:numFmt w:val="decimal"/>
      <w:lvlText w:val="%7."/>
      <w:lvlJc w:val="left"/>
      <w:pPr>
        <w:ind w:left="5040" w:hanging="360"/>
      </w:pPr>
    </w:lvl>
    <w:lvl w:ilvl="7" w:tplc="9150512C" w:tentative="1">
      <w:start w:val="1"/>
      <w:numFmt w:val="lowerLetter"/>
      <w:lvlText w:val="%8."/>
      <w:lvlJc w:val="left"/>
      <w:pPr>
        <w:ind w:left="5760" w:hanging="360"/>
      </w:pPr>
    </w:lvl>
    <w:lvl w:ilvl="8" w:tplc="53706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8257E"/>
    <w:multiLevelType w:val="hybridMultilevel"/>
    <w:tmpl w:val="33361FF2"/>
    <w:lvl w:ilvl="0" w:tplc="38CA2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7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67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C2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64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2D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7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A3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8B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30218">
    <w:abstractNumId w:val="1"/>
  </w:num>
  <w:num w:numId="2" w16cid:durableId="11024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9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07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C5F"/>
    <w:rsid w:val="00080D95"/>
    <w:rsid w:val="0008490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19C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2C4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780"/>
    <w:rsid w:val="001E2CAD"/>
    <w:rsid w:val="001E34DB"/>
    <w:rsid w:val="001E37CD"/>
    <w:rsid w:val="001E4070"/>
    <w:rsid w:val="001E655E"/>
    <w:rsid w:val="001F3CB8"/>
    <w:rsid w:val="001F57C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069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E39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2C0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96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1E2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32C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C01"/>
    <w:rsid w:val="00357CA1"/>
    <w:rsid w:val="00360F98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5D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21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59E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026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D0A"/>
    <w:rsid w:val="004D3F41"/>
    <w:rsid w:val="004D5098"/>
    <w:rsid w:val="004D6497"/>
    <w:rsid w:val="004E0E60"/>
    <w:rsid w:val="004E12A3"/>
    <w:rsid w:val="004E2018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D5C"/>
    <w:rsid w:val="005E41E4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182"/>
    <w:rsid w:val="006B54C5"/>
    <w:rsid w:val="006B5E80"/>
    <w:rsid w:val="006B7A2E"/>
    <w:rsid w:val="006C4709"/>
    <w:rsid w:val="006C5DC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00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68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F9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42C"/>
    <w:rsid w:val="007C462E"/>
    <w:rsid w:val="007C496B"/>
    <w:rsid w:val="007C6803"/>
    <w:rsid w:val="007D2892"/>
    <w:rsid w:val="007D2DCC"/>
    <w:rsid w:val="007D47E1"/>
    <w:rsid w:val="007D7AF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DA6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96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ACA"/>
    <w:rsid w:val="00A27255"/>
    <w:rsid w:val="00A2795C"/>
    <w:rsid w:val="00A32304"/>
    <w:rsid w:val="00A3420E"/>
    <w:rsid w:val="00A35D66"/>
    <w:rsid w:val="00A41085"/>
    <w:rsid w:val="00A4154E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66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8B3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B3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CBA"/>
    <w:rsid w:val="00B34F25"/>
    <w:rsid w:val="00B43672"/>
    <w:rsid w:val="00B46C90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96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00"/>
    <w:rsid w:val="00CA032E"/>
    <w:rsid w:val="00CA2182"/>
    <w:rsid w:val="00CA2186"/>
    <w:rsid w:val="00CA26EF"/>
    <w:rsid w:val="00CA2DC0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65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5BB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886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113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470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9E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B15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5DA"/>
    <w:rsid w:val="00EA16AC"/>
    <w:rsid w:val="00EA2C46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4E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45E"/>
    <w:rsid w:val="00F0638C"/>
    <w:rsid w:val="00F071C2"/>
    <w:rsid w:val="00F11E04"/>
    <w:rsid w:val="00F12B24"/>
    <w:rsid w:val="00F12BC7"/>
    <w:rsid w:val="00F15223"/>
    <w:rsid w:val="00F15617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48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80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A0C56-BC75-482D-AB7F-8B14BD4F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2C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2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2C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2C46"/>
    <w:rPr>
      <w:b/>
      <w:bCs/>
    </w:rPr>
  </w:style>
  <w:style w:type="character" w:styleId="Hyperlink">
    <w:name w:val="Hyperlink"/>
    <w:basedOn w:val="DefaultParagraphFont"/>
    <w:unhideWhenUsed/>
    <w:rsid w:val="008D39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9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B12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C7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3607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SB01186 (Committee Report (Unamended))</vt:lpstr>
    </vt:vector>
  </TitlesOfParts>
  <Company>State of Texas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28307</dc:subject>
  <dc:creator>State of Texas</dc:creator>
  <dc:description>SB 1186 by Hughes-(H)Energy Resources</dc:description>
  <cp:lastModifiedBy>Stacey Nicchio</cp:lastModifiedBy>
  <cp:revision>2</cp:revision>
  <cp:lastPrinted>2003-11-26T17:21:00Z</cp:lastPrinted>
  <dcterms:created xsi:type="dcterms:W3CDTF">2023-05-08T21:56:00Z</dcterms:created>
  <dcterms:modified xsi:type="dcterms:W3CDTF">2023-05-08T21:56:00Z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23.125.1464</vt:lpwstr>
  </property>
</Properties>
</file>