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44343" w14:paraId="7F94158D" w14:textId="77777777" w:rsidTr="00345119">
        <w:tc>
          <w:tcPr>
            <w:tcW w:w="9576" w:type="dxa"/>
            <w:noWrap/>
          </w:tcPr>
          <w:p w14:paraId="0C7F029E" w14:textId="77777777" w:rsidR="008423E4" w:rsidRPr="0022177D" w:rsidRDefault="002A5C6C" w:rsidP="00B41051">
            <w:pPr>
              <w:pStyle w:val="Heading1"/>
            </w:pPr>
            <w:r w:rsidRPr="00631897">
              <w:t>BILL ANALYSIS</w:t>
            </w:r>
          </w:p>
        </w:tc>
      </w:tr>
    </w:tbl>
    <w:p w14:paraId="6F0BBE3A" w14:textId="77777777" w:rsidR="008423E4" w:rsidRPr="00300646" w:rsidRDefault="008423E4" w:rsidP="00B41051">
      <w:pPr>
        <w:jc w:val="center"/>
        <w:rPr>
          <w:sz w:val="20"/>
          <w:szCs w:val="20"/>
        </w:rPr>
      </w:pPr>
    </w:p>
    <w:p w14:paraId="308DA897" w14:textId="77777777" w:rsidR="008423E4" w:rsidRPr="00300646" w:rsidRDefault="008423E4" w:rsidP="00B41051">
      <w:pPr>
        <w:rPr>
          <w:sz w:val="20"/>
          <w:szCs w:val="20"/>
        </w:rPr>
      </w:pPr>
    </w:p>
    <w:p w14:paraId="45896386" w14:textId="77777777" w:rsidR="008423E4" w:rsidRPr="00300646" w:rsidRDefault="008423E4" w:rsidP="00B41051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44343" w14:paraId="3EAB821E" w14:textId="77777777" w:rsidTr="00345119">
        <w:tc>
          <w:tcPr>
            <w:tcW w:w="9576" w:type="dxa"/>
          </w:tcPr>
          <w:p w14:paraId="42BBEE23" w14:textId="44AEE815" w:rsidR="008423E4" w:rsidRPr="00861995" w:rsidRDefault="002A5C6C" w:rsidP="00B41051">
            <w:pPr>
              <w:jc w:val="right"/>
            </w:pPr>
            <w:r>
              <w:t>S.B. 1300</w:t>
            </w:r>
          </w:p>
        </w:tc>
      </w:tr>
      <w:tr w:rsidR="00244343" w14:paraId="530FA684" w14:textId="77777777" w:rsidTr="00345119">
        <w:tc>
          <w:tcPr>
            <w:tcW w:w="9576" w:type="dxa"/>
          </w:tcPr>
          <w:p w14:paraId="54AB84BA" w14:textId="27BA0C6E" w:rsidR="008423E4" w:rsidRPr="00861995" w:rsidRDefault="002A5C6C" w:rsidP="00B41051">
            <w:pPr>
              <w:jc w:val="right"/>
            </w:pPr>
            <w:r>
              <w:t xml:space="preserve">By: </w:t>
            </w:r>
            <w:r w:rsidR="00C9058C">
              <w:t>Hughes</w:t>
            </w:r>
          </w:p>
        </w:tc>
      </w:tr>
      <w:tr w:rsidR="00244343" w14:paraId="6D332B5F" w14:textId="77777777" w:rsidTr="00345119">
        <w:tc>
          <w:tcPr>
            <w:tcW w:w="9576" w:type="dxa"/>
          </w:tcPr>
          <w:p w14:paraId="1A73F2B8" w14:textId="663FC6DD" w:rsidR="008423E4" w:rsidRPr="00861995" w:rsidRDefault="002A5C6C" w:rsidP="00B41051">
            <w:pPr>
              <w:jc w:val="right"/>
            </w:pPr>
            <w:r>
              <w:t>Judiciary &amp; Civil Jurisprudence</w:t>
            </w:r>
          </w:p>
        </w:tc>
      </w:tr>
      <w:tr w:rsidR="00244343" w14:paraId="16B8BA7A" w14:textId="77777777" w:rsidTr="00345119">
        <w:tc>
          <w:tcPr>
            <w:tcW w:w="9576" w:type="dxa"/>
          </w:tcPr>
          <w:p w14:paraId="5F13D3FF" w14:textId="3B3359DC" w:rsidR="008423E4" w:rsidRDefault="002A5C6C" w:rsidP="00B41051">
            <w:pPr>
              <w:jc w:val="right"/>
            </w:pPr>
            <w:r>
              <w:t>Committee Report (Unamended)</w:t>
            </w:r>
          </w:p>
        </w:tc>
      </w:tr>
    </w:tbl>
    <w:p w14:paraId="47D68FD2" w14:textId="77777777" w:rsidR="008423E4" w:rsidRPr="00300646" w:rsidRDefault="008423E4" w:rsidP="00B41051">
      <w:pPr>
        <w:tabs>
          <w:tab w:val="right" w:pos="9360"/>
        </w:tabs>
        <w:rPr>
          <w:sz w:val="20"/>
          <w:szCs w:val="20"/>
        </w:rPr>
      </w:pPr>
    </w:p>
    <w:p w14:paraId="0D58394B" w14:textId="77777777" w:rsidR="008423E4" w:rsidRPr="00300646" w:rsidRDefault="008423E4" w:rsidP="00B41051">
      <w:pPr>
        <w:rPr>
          <w:sz w:val="20"/>
          <w:szCs w:val="20"/>
        </w:rPr>
      </w:pPr>
    </w:p>
    <w:p w14:paraId="0C9AA919" w14:textId="77777777" w:rsidR="008423E4" w:rsidRPr="00300646" w:rsidRDefault="008423E4" w:rsidP="00B41051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44343" w14:paraId="70F30010" w14:textId="77777777" w:rsidTr="00664090">
        <w:tc>
          <w:tcPr>
            <w:tcW w:w="9360" w:type="dxa"/>
          </w:tcPr>
          <w:p w14:paraId="2455D610" w14:textId="77777777" w:rsidR="008423E4" w:rsidRPr="00A8133F" w:rsidRDefault="002A5C6C" w:rsidP="00B410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01DD36" w14:textId="77777777" w:rsidR="008423E4" w:rsidRPr="00300646" w:rsidRDefault="008423E4" w:rsidP="00B41051">
            <w:pPr>
              <w:rPr>
                <w:sz w:val="20"/>
                <w:szCs w:val="20"/>
              </w:rPr>
            </w:pPr>
          </w:p>
          <w:p w14:paraId="2E80D28C" w14:textId="3CA731C6" w:rsidR="00F84368" w:rsidRDefault="002A5C6C" w:rsidP="00B41051">
            <w:pPr>
              <w:pStyle w:val="Header"/>
              <w:jc w:val="both"/>
            </w:pPr>
            <w:r>
              <w:t>A</w:t>
            </w:r>
            <w:r w:rsidRPr="00F84368">
              <w:t xml:space="preserve">ttorneys who work </w:t>
            </w:r>
            <w:r w:rsidR="009D7330">
              <w:t>in</w:t>
            </w:r>
            <w:r w:rsidR="009D7330" w:rsidRPr="00F84368">
              <w:t xml:space="preserve"> </w:t>
            </w:r>
            <w:r w:rsidRPr="00F84368">
              <w:t>estate planning law</w:t>
            </w:r>
            <w:r>
              <w:t xml:space="preserve"> have found that there is inconsistency in Health and Safety Code provisions relating to those who may consent to the removal of a decedent's remains. The individuals authorized to consent to the removal of remains are different than those authorized to co</w:t>
            </w:r>
            <w:r>
              <w:t>ntrol the initial disposition of remains</w:t>
            </w:r>
            <w:r w:rsidR="009D7330">
              <w:t>. However, it is logical that</w:t>
            </w:r>
            <w:r>
              <w:t xml:space="preserve"> the</w:t>
            </w:r>
            <w:r w:rsidRPr="00F84368">
              <w:t xml:space="preserve"> order and identity of those who determine </w:t>
            </w:r>
            <w:r>
              <w:t xml:space="preserve">the </w:t>
            </w:r>
            <w:r w:rsidRPr="00F84368">
              <w:t>disposition of remains be consistent with the order and identity of those who can disinter remains.</w:t>
            </w:r>
            <w:r w:rsidR="009D7330">
              <w:t xml:space="preserve"> </w:t>
            </w:r>
            <w:r w:rsidR="00EF1D2A">
              <w:t xml:space="preserve">S.B. 1300 </w:t>
            </w:r>
            <w:r w:rsidR="009D7330">
              <w:t>seeks to address this issue by revising statutory provisions</w:t>
            </w:r>
            <w:r>
              <w:t xml:space="preserve"> to harmonize the </w:t>
            </w:r>
            <w:r w:rsidRPr="00F84368">
              <w:t xml:space="preserve">order and identity of those who </w:t>
            </w:r>
            <w:r w:rsidR="009D7330">
              <w:t>must consent</w:t>
            </w:r>
            <w:r w:rsidR="009D7330" w:rsidRPr="00F84368">
              <w:t xml:space="preserve"> </w:t>
            </w:r>
            <w:r w:rsidR="009D7330">
              <w:t>to the removal of a dece</w:t>
            </w:r>
            <w:r w:rsidR="00DD6D54">
              <w:t>de</w:t>
            </w:r>
            <w:r w:rsidR="009D7330">
              <w:t>nt's remains with the</w:t>
            </w:r>
            <w:r w:rsidRPr="00F84368">
              <w:t xml:space="preserve"> order and identity </w:t>
            </w:r>
            <w:r w:rsidR="00E25131">
              <w:t>of</w:t>
            </w:r>
            <w:r w:rsidR="00E25131" w:rsidRPr="00F84368">
              <w:t xml:space="preserve"> </w:t>
            </w:r>
            <w:r w:rsidRPr="00F84368">
              <w:t xml:space="preserve">those who </w:t>
            </w:r>
            <w:r w:rsidR="009D7330">
              <w:t>have the right to</w:t>
            </w:r>
            <w:r w:rsidR="009D7330" w:rsidRPr="00F84368">
              <w:t xml:space="preserve"> </w:t>
            </w:r>
            <w:r w:rsidRPr="00F84368">
              <w:t xml:space="preserve">determine </w:t>
            </w:r>
            <w:r w:rsidR="009D7330">
              <w:t xml:space="preserve">the initial </w:t>
            </w:r>
            <w:r w:rsidRPr="00F84368">
              <w:t xml:space="preserve">disposition of </w:t>
            </w:r>
            <w:r w:rsidR="009D7330">
              <w:t xml:space="preserve">the </w:t>
            </w:r>
            <w:r w:rsidRPr="00F84368">
              <w:t>remains.</w:t>
            </w:r>
          </w:p>
          <w:p w14:paraId="3928E557" w14:textId="77777777" w:rsidR="008423E4" w:rsidRPr="00E26B13" w:rsidRDefault="008423E4" w:rsidP="00B41051">
            <w:pPr>
              <w:rPr>
                <w:b/>
              </w:rPr>
            </w:pPr>
          </w:p>
        </w:tc>
      </w:tr>
      <w:tr w:rsidR="00244343" w14:paraId="62D72465" w14:textId="77777777" w:rsidTr="00664090">
        <w:tc>
          <w:tcPr>
            <w:tcW w:w="9360" w:type="dxa"/>
          </w:tcPr>
          <w:p w14:paraId="35564E43" w14:textId="77777777" w:rsidR="0017725B" w:rsidRDefault="002A5C6C" w:rsidP="00B410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14:paraId="4B054245" w14:textId="77777777" w:rsidR="0017725B" w:rsidRPr="00300646" w:rsidRDefault="0017725B" w:rsidP="00B41051">
            <w:pPr>
              <w:rPr>
                <w:bCs/>
                <w:sz w:val="20"/>
                <w:szCs w:val="20"/>
              </w:rPr>
            </w:pPr>
          </w:p>
          <w:p w14:paraId="23CC3A6B" w14:textId="77777777" w:rsidR="006C365F" w:rsidRPr="006C365F" w:rsidRDefault="002A5C6C" w:rsidP="00B4105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14:paraId="6CE9DD2E" w14:textId="77777777" w:rsidR="0017725B" w:rsidRPr="0017725B" w:rsidRDefault="0017725B" w:rsidP="00B41051">
            <w:pPr>
              <w:rPr>
                <w:b/>
                <w:u w:val="single"/>
              </w:rPr>
            </w:pPr>
          </w:p>
        </w:tc>
      </w:tr>
      <w:tr w:rsidR="00244343" w14:paraId="7529D12B" w14:textId="77777777" w:rsidTr="00664090">
        <w:tc>
          <w:tcPr>
            <w:tcW w:w="9360" w:type="dxa"/>
          </w:tcPr>
          <w:p w14:paraId="729C2C1A" w14:textId="77777777" w:rsidR="008423E4" w:rsidRPr="00A8133F" w:rsidRDefault="002A5C6C" w:rsidP="00B410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54D37C" w14:textId="77777777" w:rsidR="008423E4" w:rsidRPr="00300646" w:rsidRDefault="008423E4" w:rsidP="00B41051">
            <w:pPr>
              <w:rPr>
                <w:sz w:val="20"/>
                <w:szCs w:val="20"/>
              </w:rPr>
            </w:pPr>
          </w:p>
          <w:p w14:paraId="0D422793" w14:textId="77777777" w:rsidR="006C365F" w:rsidRDefault="002A5C6C" w:rsidP="00B410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DF4D8B1" w14:textId="77777777" w:rsidR="008423E4" w:rsidRPr="00E21FDC" w:rsidRDefault="008423E4" w:rsidP="00B41051">
            <w:pPr>
              <w:rPr>
                <w:b/>
              </w:rPr>
            </w:pPr>
          </w:p>
        </w:tc>
      </w:tr>
      <w:tr w:rsidR="00244343" w14:paraId="25991F63" w14:textId="77777777" w:rsidTr="00664090">
        <w:tc>
          <w:tcPr>
            <w:tcW w:w="9360" w:type="dxa"/>
          </w:tcPr>
          <w:p w14:paraId="604A5AC7" w14:textId="77777777" w:rsidR="008423E4" w:rsidRPr="00A8133F" w:rsidRDefault="002A5C6C" w:rsidP="00B4105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895D63" w14:textId="4B86911C" w:rsidR="008423E4" w:rsidRPr="00300646" w:rsidRDefault="008423E4" w:rsidP="00B41051">
            <w:pPr>
              <w:rPr>
                <w:sz w:val="20"/>
                <w:szCs w:val="20"/>
              </w:rPr>
            </w:pPr>
          </w:p>
          <w:p w14:paraId="6952499D" w14:textId="1DD2A3E9" w:rsidR="008C0616" w:rsidRDefault="002A5C6C" w:rsidP="00B41051">
            <w:pPr>
              <w:pStyle w:val="Header"/>
              <w:jc w:val="both"/>
            </w:pPr>
            <w:r>
              <w:t>S</w:t>
            </w:r>
            <w:r w:rsidR="006C365F">
              <w:t xml:space="preserve">.B. </w:t>
            </w:r>
            <w:r w:rsidR="00EF1D2A">
              <w:t xml:space="preserve">1300 </w:t>
            </w:r>
            <w:r w:rsidR="00326457">
              <w:t>amends the</w:t>
            </w:r>
            <w:r w:rsidR="006C365F">
              <w:t xml:space="preserve"> Health and Safety Code to </w:t>
            </w:r>
            <w:r w:rsidR="00A12D53">
              <w:t xml:space="preserve">revise the </w:t>
            </w:r>
            <w:r w:rsidR="00FF5C6A">
              <w:t>prioritized</w:t>
            </w:r>
            <w:r w:rsidR="00A12D53">
              <w:t xml:space="preserve"> </w:t>
            </w:r>
            <w:r w:rsidR="00DA6AAC">
              <w:t xml:space="preserve">list </w:t>
            </w:r>
            <w:r w:rsidR="00A12D53">
              <w:t>of persons who</w:t>
            </w:r>
            <w:r>
              <w:t>, in addition to the cemetery organization operating the cemetery,</w:t>
            </w:r>
            <w:r w:rsidR="00A12D53">
              <w:t xml:space="preserve"> must consent to removal of a decedent's r</w:t>
            </w:r>
            <w:r w:rsidR="00A12D53" w:rsidRPr="00A12D53">
              <w:t xml:space="preserve">emains </w:t>
            </w:r>
            <w:r w:rsidR="00A12D53">
              <w:t>from a plot</w:t>
            </w:r>
            <w:r w:rsidR="00A12D53" w:rsidRPr="00A12D53">
              <w:t xml:space="preserve"> in a cemetery</w:t>
            </w:r>
            <w:r w:rsidR="00DA7A85">
              <w:t xml:space="preserve"> to</w:t>
            </w:r>
            <w:r w:rsidR="003726D4">
              <w:t xml:space="preserve"> </w:t>
            </w:r>
            <w:r w:rsidR="00FD6A7B">
              <w:t>match</w:t>
            </w:r>
            <w:r w:rsidR="003726D4">
              <w:t xml:space="preserve"> the priorit</w:t>
            </w:r>
            <w:r w:rsidR="00FD6A7B">
              <w:t>ized</w:t>
            </w:r>
            <w:r w:rsidR="003726D4">
              <w:t xml:space="preserve"> list of those who have the right to control the disposition of </w:t>
            </w:r>
            <w:r w:rsidR="00FD6A7B">
              <w:t xml:space="preserve">such </w:t>
            </w:r>
            <w:r w:rsidR="003726D4">
              <w:t>remains</w:t>
            </w:r>
            <w:r>
              <w:t xml:space="preserve"> as follows:</w:t>
            </w:r>
          </w:p>
          <w:p w14:paraId="20D3F510" w14:textId="5405602A" w:rsidR="008C0616" w:rsidRDefault="002A5C6C" w:rsidP="00B4105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includes as the new first priority </w:t>
            </w:r>
            <w:r w:rsidR="00247655">
              <w:t xml:space="preserve">consent from </w:t>
            </w:r>
            <w:r>
              <w:t>the person designated in a written instrument signed by the decedent</w:t>
            </w:r>
            <w:r w:rsidR="00DE1D61">
              <w:t xml:space="preserve"> to control the</w:t>
            </w:r>
            <w:r w:rsidR="00DE1D61" w:rsidRPr="00C8578A">
              <w:t xml:space="preserve"> disposition of remains</w:t>
            </w:r>
            <w:r>
              <w:t>;</w:t>
            </w:r>
          </w:p>
          <w:p w14:paraId="2F26D936" w14:textId="37B539FE" w:rsidR="00426DBE" w:rsidRDefault="002A5C6C" w:rsidP="00B4105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includes as the new sixth priority </w:t>
            </w:r>
            <w:r w:rsidR="00247655">
              <w:t xml:space="preserve">consent from </w:t>
            </w:r>
            <w:r w:rsidR="008C0616">
              <w:t>any one of the duly qualified executors or administrators of the decedent's estate</w:t>
            </w:r>
            <w:r>
              <w:t>;</w:t>
            </w:r>
          </w:p>
          <w:p w14:paraId="7CA10BD1" w14:textId="170A76FB" w:rsidR="00426DBE" w:rsidRDefault="002A5C6C" w:rsidP="00B4105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specifies that, with respect to </w:t>
            </w:r>
            <w:r w:rsidR="00247655">
              <w:t xml:space="preserve">consent from </w:t>
            </w:r>
            <w:r>
              <w:t xml:space="preserve">the decedent's surviving adult children, which </w:t>
            </w:r>
            <w:r w:rsidR="00DA7A85">
              <w:t>will be</w:t>
            </w:r>
            <w:r>
              <w:t xml:space="preserve"> the third priority, cons</w:t>
            </w:r>
            <w:r>
              <w:t xml:space="preserve">ent is required </w:t>
            </w:r>
            <w:r w:rsidR="00247655">
              <w:t>from only</w:t>
            </w:r>
            <w:r>
              <w:t xml:space="preserve"> one of those children;</w:t>
            </w:r>
          </w:p>
          <w:p w14:paraId="325DF605" w14:textId="078348F7" w:rsidR="00426DBE" w:rsidRDefault="002A5C6C" w:rsidP="00B4105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specifies that, with respect to </w:t>
            </w:r>
            <w:r w:rsidR="00247655">
              <w:t xml:space="preserve">consent from </w:t>
            </w:r>
            <w:r>
              <w:t xml:space="preserve">the decedent's surviving parents, which </w:t>
            </w:r>
            <w:r w:rsidR="00DA7A85">
              <w:t>will be</w:t>
            </w:r>
            <w:r>
              <w:t xml:space="preserve"> the fourth priority, consent is required </w:t>
            </w:r>
            <w:r w:rsidR="00247655">
              <w:t>from</w:t>
            </w:r>
            <w:r>
              <w:t xml:space="preserve"> only one of the parents; and</w:t>
            </w:r>
          </w:p>
          <w:p w14:paraId="51D5457E" w14:textId="225AB031" w:rsidR="008423E4" w:rsidRDefault="002A5C6C" w:rsidP="00B41051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specifies that, with respect to </w:t>
            </w:r>
            <w:r w:rsidR="00247655">
              <w:t xml:space="preserve">consent from </w:t>
            </w:r>
            <w:r>
              <w:t xml:space="preserve">the decedent's adult siblings, </w:t>
            </w:r>
            <w:r w:rsidR="00DA7A85">
              <w:t xml:space="preserve">which will be the fifth priority, </w:t>
            </w:r>
            <w:r>
              <w:t xml:space="preserve">consent is required </w:t>
            </w:r>
            <w:r w:rsidR="00247655">
              <w:t xml:space="preserve">from </w:t>
            </w:r>
            <w:r>
              <w:t>only one of the surviving adult siblings.</w:t>
            </w:r>
          </w:p>
          <w:p w14:paraId="2790899D" w14:textId="45A9E8BF" w:rsidR="0079600A" w:rsidRDefault="002A5C6C" w:rsidP="00B410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makes </w:t>
            </w:r>
            <w:r w:rsidR="00E073C9">
              <w:t>related revisions to the form prescribed for</w:t>
            </w:r>
            <w:r w:rsidR="007A0109">
              <w:t xml:space="preserve"> th</w:t>
            </w:r>
            <w:r w:rsidR="00DE1D61">
              <w:t>at</w:t>
            </w:r>
            <w:r w:rsidR="008C4C7D">
              <w:t xml:space="preserve"> written instrument</w:t>
            </w:r>
            <w:r w:rsidR="00C8578A">
              <w:t xml:space="preserve"> </w:t>
            </w:r>
            <w:r w:rsidR="00E073C9">
              <w:t xml:space="preserve">and </w:t>
            </w:r>
            <w:r w:rsidR="00DA7A85">
              <w:t>establishes</w:t>
            </w:r>
            <w:r w:rsidR="00E073C9">
              <w:t xml:space="preserve"> that </w:t>
            </w:r>
            <w:r w:rsidR="00DE1D61">
              <w:t>such</w:t>
            </w:r>
            <w:r w:rsidR="00E073C9">
              <w:t xml:space="preserve"> revisions</w:t>
            </w:r>
            <w:r w:rsidR="00151C1E">
              <w:t xml:space="preserve"> </w:t>
            </w:r>
            <w:r w:rsidR="00151C1E" w:rsidRPr="00151C1E">
              <w:t>appl</w:t>
            </w:r>
            <w:r w:rsidR="00E073C9">
              <w:t>y</w:t>
            </w:r>
            <w:r w:rsidR="00151C1E" w:rsidRPr="00151C1E">
              <w:t xml:space="preserve"> only to the validity of a written instrument executed on or after the </w:t>
            </w:r>
            <w:r w:rsidR="00151C1E">
              <w:t xml:space="preserve">bill's </w:t>
            </w:r>
            <w:r w:rsidR="00151C1E" w:rsidRPr="00151C1E">
              <w:t>effective</w:t>
            </w:r>
            <w:r w:rsidR="00151C1E">
              <w:t xml:space="preserve"> date. </w:t>
            </w:r>
          </w:p>
          <w:p w14:paraId="6F8A3ED3" w14:textId="04126C66" w:rsidR="008C0616" w:rsidRPr="00835628" w:rsidRDefault="008C0616" w:rsidP="00B410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44343" w14:paraId="0FB3561A" w14:textId="77777777" w:rsidTr="00664090">
        <w:tc>
          <w:tcPr>
            <w:tcW w:w="9360" w:type="dxa"/>
          </w:tcPr>
          <w:p w14:paraId="7E55E0D1" w14:textId="77777777" w:rsidR="008423E4" w:rsidRPr="00A8133F" w:rsidRDefault="002A5C6C" w:rsidP="00B41051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9EB98C" w14:textId="77777777" w:rsidR="008423E4" w:rsidRPr="00300646" w:rsidRDefault="008423E4" w:rsidP="00B41051">
            <w:pPr>
              <w:rPr>
                <w:sz w:val="20"/>
                <w:szCs w:val="20"/>
              </w:rPr>
            </w:pPr>
          </w:p>
          <w:p w14:paraId="23D078B4" w14:textId="04BE8962" w:rsidR="00300646" w:rsidRPr="00637AA6" w:rsidRDefault="002A5C6C" w:rsidP="00B410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7B6846">
              <w:t>3</w:t>
            </w:r>
            <w:r>
              <w:t>.</w:t>
            </w:r>
          </w:p>
        </w:tc>
      </w:tr>
    </w:tbl>
    <w:p w14:paraId="4E52A808" w14:textId="77777777" w:rsidR="004108C3" w:rsidRPr="008423E4" w:rsidRDefault="004108C3" w:rsidP="00B4105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01E3" w14:textId="77777777" w:rsidR="00000000" w:rsidRDefault="002A5C6C">
      <w:r>
        <w:separator/>
      </w:r>
    </w:p>
  </w:endnote>
  <w:endnote w:type="continuationSeparator" w:id="0">
    <w:p w14:paraId="03601EA3" w14:textId="77777777" w:rsidR="00000000" w:rsidRDefault="002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77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44343" w14:paraId="1058239B" w14:textId="77777777" w:rsidTr="009C1E9A">
      <w:trPr>
        <w:cantSplit/>
      </w:trPr>
      <w:tc>
        <w:tcPr>
          <w:tcW w:w="0" w:type="pct"/>
        </w:tcPr>
        <w:p w14:paraId="40E5E9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2E35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D9126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A4ED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3E55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4343" w14:paraId="59434FD7" w14:textId="77777777" w:rsidTr="009C1E9A">
      <w:trPr>
        <w:cantSplit/>
      </w:trPr>
      <w:tc>
        <w:tcPr>
          <w:tcW w:w="0" w:type="pct"/>
        </w:tcPr>
        <w:p w14:paraId="205AB8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562353" w14:textId="64DB93EB" w:rsidR="00EC379B" w:rsidRPr="009C1E9A" w:rsidRDefault="002A5C6C" w:rsidP="00D80C95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27111-D</w:t>
          </w:r>
        </w:p>
      </w:tc>
      <w:tc>
        <w:tcPr>
          <w:tcW w:w="2453" w:type="pct"/>
        </w:tcPr>
        <w:p w14:paraId="2A960B7C" w14:textId="55621325" w:rsidR="00EC379B" w:rsidRDefault="002A5C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48A0">
            <w:t>23.119.579</w:t>
          </w:r>
          <w:r>
            <w:fldChar w:fldCharType="end"/>
          </w:r>
        </w:p>
      </w:tc>
    </w:tr>
    <w:tr w:rsidR="00244343" w14:paraId="709696AC" w14:textId="77777777" w:rsidTr="009C1E9A">
      <w:trPr>
        <w:cantSplit/>
      </w:trPr>
      <w:tc>
        <w:tcPr>
          <w:tcW w:w="0" w:type="pct"/>
        </w:tcPr>
        <w:p w14:paraId="065AC3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F78CF2" w14:textId="07EB4B10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DE717B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85FF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44343" w14:paraId="7D91734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1F357A" w14:textId="1C2BBE00" w:rsidR="00EC379B" w:rsidRDefault="002A5C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D5A0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535F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FF79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50A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BD13" w14:textId="77777777" w:rsidR="00000000" w:rsidRDefault="002A5C6C">
      <w:r>
        <w:separator/>
      </w:r>
    </w:p>
  </w:footnote>
  <w:footnote w:type="continuationSeparator" w:id="0">
    <w:p w14:paraId="5D6A7F36" w14:textId="77777777" w:rsidR="00000000" w:rsidRDefault="002A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3BD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9B9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9DC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8E6"/>
    <w:multiLevelType w:val="hybridMultilevel"/>
    <w:tmpl w:val="1FECE4C2"/>
    <w:lvl w:ilvl="0" w:tplc="AB1E3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61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AB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AA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E3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AD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A5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F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46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4582"/>
    <w:multiLevelType w:val="hybridMultilevel"/>
    <w:tmpl w:val="2A8C901A"/>
    <w:lvl w:ilvl="0" w:tplc="9A7E41E2">
      <w:start w:val="1"/>
      <w:numFmt w:val="decimal"/>
      <w:lvlText w:val="(%1)"/>
      <w:lvlJc w:val="left"/>
      <w:pPr>
        <w:ind w:left="540" w:hanging="480"/>
      </w:pPr>
      <w:rPr>
        <w:rFonts w:hint="default"/>
      </w:rPr>
    </w:lvl>
    <w:lvl w:ilvl="1" w:tplc="C744FB24" w:tentative="1">
      <w:start w:val="1"/>
      <w:numFmt w:val="lowerLetter"/>
      <w:lvlText w:val="%2."/>
      <w:lvlJc w:val="left"/>
      <w:pPr>
        <w:ind w:left="1140" w:hanging="360"/>
      </w:pPr>
    </w:lvl>
    <w:lvl w:ilvl="2" w:tplc="5A329C5A" w:tentative="1">
      <w:start w:val="1"/>
      <w:numFmt w:val="lowerRoman"/>
      <w:lvlText w:val="%3."/>
      <w:lvlJc w:val="right"/>
      <w:pPr>
        <w:ind w:left="1860" w:hanging="180"/>
      </w:pPr>
    </w:lvl>
    <w:lvl w:ilvl="3" w:tplc="C07CF2B0" w:tentative="1">
      <w:start w:val="1"/>
      <w:numFmt w:val="decimal"/>
      <w:lvlText w:val="%4."/>
      <w:lvlJc w:val="left"/>
      <w:pPr>
        <w:ind w:left="2580" w:hanging="360"/>
      </w:pPr>
    </w:lvl>
    <w:lvl w:ilvl="4" w:tplc="D19A7D04" w:tentative="1">
      <w:start w:val="1"/>
      <w:numFmt w:val="lowerLetter"/>
      <w:lvlText w:val="%5."/>
      <w:lvlJc w:val="left"/>
      <w:pPr>
        <w:ind w:left="3300" w:hanging="360"/>
      </w:pPr>
    </w:lvl>
    <w:lvl w:ilvl="5" w:tplc="8702F428" w:tentative="1">
      <w:start w:val="1"/>
      <w:numFmt w:val="lowerRoman"/>
      <w:lvlText w:val="%6."/>
      <w:lvlJc w:val="right"/>
      <w:pPr>
        <w:ind w:left="4020" w:hanging="180"/>
      </w:pPr>
    </w:lvl>
    <w:lvl w:ilvl="6" w:tplc="24A67C32" w:tentative="1">
      <w:start w:val="1"/>
      <w:numFmt w:val="decimal"/>
      <w:lvlText w:val="%7."/>
      <w:lvlJc w:val="left"/>
      <w:pPr>
        <w:ind w:left="4740" w:hanging="360"/>
      </w:pPr>
    </w:lvl>
    <w:lvl w:ilvl="7" w:tplc="F6FE38F4" w:tentative="1">
      <w:start w:val="1"/>
      <w:numFmt w:val="lowerLetter"/>
      <w:lvlText w:val="%8."/>
      <w:lvlJc w:val="left"/>
      <w:pPr>
        <w:ind w:left="5460" w:hanging="360"/>
      </w:pPr>
    </w:lvl>
    <w:lvl w:ilvl="8" w:tplc="35A0B3E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7CB2341"/>
    <w:multiLevelType w:val="hybridMultilevel"/>
    <w:tmpl w:val="7AF0CA1A"/>
    <w:lvl w:ilvl="0" w:tplc="56D0C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C1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6B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E9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C5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E4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7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C6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48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57"/>
    <w:rsid w:val="00000A70"/>
    <w:rsid w:val="000032B8"/>
    <w:rsid w:val="00003B06"/>
    <w:rsid w:val="000054B9"/>
    <w:rsid w:val="000064CA"/>
    <w:rsid w:val="00007461"/>
    <w:rsid w:val="0001117E"/>
    <w:rsid w:val="0001125F"/>
    <w:rsid w:val="00011FB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11E"/>
    <w:rsid w:val="00127893"/>
    <w:rsid w:val="001312BB"/>
    <w:rsid w:val="00134421"/>
    <w:rsid w:val="00137D90"/>
    <w:rsid w:val="00141FB6"/>
    <w:rsid w:val="00142F8E"/>
    <w:rsid w:val="00143C8B"/>
    <w:rsid w:val="00147530"/>
    <w:rsid w:val="00151C1E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353"/>
    <w:rsid w:val="001B75B8"/>
    <w:rsid w:val="001B7B67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31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343"/>
    <w:rsid w:val="0024691D"/>
    <w:rsid w:val="00247655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5C6C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4A5"/>
    <w:rsid w:val="002D305A"/>
    <w:rsid w:val="002E21B8"/>
    <w:rsid w:val="002E7DF9"/>
    <w:rsid w:val="002F097B"/>
    <w:rsid w:val="002F3111"/>
    <w:rsid w:val="002F4AEC"/>
    <w:rsid w:val="002F795D"/>
    <w:rsid w:val="00300646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45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6D4"/>
    <w:rsid w:val="003747DF"/>
    <w:rsid w:val="00377E3D"/>
    <w:rsid w:val="003847E8"/>
    <w:rsid w:val="00386DEB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79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DB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739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0876"/>
    <w:rsid w:val="00590E35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749"/>
    <w:rsid w:val="005D4C1F"/>
    <w:rsid w:val="005D4DAE"/>
    <w:rsid w:val="005D767D"/>
    <w:rsid w:val="005D7A30"/>
    <w:rsid w:val="005D7D3B"/>
    <w:rsid w:val="005E1999"/>
    <w:rsid w:val="005E232C"/>
    <w:rsid w:val="005E2B83"/>
    <w:rsid w:val="005E4AEB"/>
    <w:rsid w:val="005E69D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85A"/>
    <w:rsid w:val="00630963"/>
    <w:rsid w:val="00631897"/>
    <w:rsid w:val="00632928"/>
    <w:rsid w:val="006330DA"/>
    <w:rsid w:val="00633262"/>
    <w:rsid w:val="00633460"/>
    <w:rsid w:val="00637AA6"/>
    <w:rsid w:val="006402E7"/>
    <w:rsid w:val="00640CB6"/>
    <w:rsid w:val="00641B42"/>
    <w:rsid w:val="00645750"/>
    <w:rsid w:val="00650692"/>
    <w:rsid w:val="006508D3"/>
    <w:rsid w:val="00650AFA"/>
    <w:rsid w:val="0065614A"/>
    <w:rsid w:val="00662B77"/>
    <w:rsid w:val="00662D0E"/>
    <w:rsid w:val="00663265"/>
    <w:rsid w:val="0066345F"/>
    <w:rsid w:val="00664090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65F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FF3"/>
    <w:rsid w:val="006F136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C4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9ED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C73"/>
    <w:rsid w:val="0079600A"/>
    <w:rsid w:val="007966D4"/>
    <w:rsid w:val="00796A0A"/>
    <w:rsid w:val="0079792C"/>
    <w:rsid w:val="007A0109"/>
    <w:rsid w:val="007A0989"/>
    <w:rsid w:val="007A331F"/>
    <w:rsid w:val="007A3844"/>
    <w:rsid w:val="007A4381"/>
    <w:rsid w:val="007A5466"/>
    <w:rsid w:val="007A7EC1"/>
    <w:rsid w:val="007B4FCA"/>
    <w:rsid w:val="007B6846"/>
    <w:rsid w:val="007B7B85"/>
    <w:rsid w:val="007C462E"/>
    <w:rsid w:val="007C496B"/>
    <w:rsid w:val="007C6803"/>
    <w:rsid w:val="007D2892"/>
    <w:rsid w:val="007D2DCC"/>
    <w:rsid w:val="007D47E1"/>
    <w:rsid w:val="007D5A04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5FB"/>
    <w:rsid w:val="00823E4C"/>
    <w:rsid w:val="00827749"/>
    <w:rsid w:val="00827B7E"/>
    <w:rsid w:val="00830EEB"/>
    <w:rsid w:val="008347A9"/>
    <w:rsid w:val="00834B98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616"/>
    <w:rsid w:val="008C0809"/>
    <w:rsid w:val="008C132C"/>
    <w:rsid w:val="008C3FD0"/>
    <w:rsid w:val="008C4C7D"/>
    <w:rsid w:val="008D27A5"/>
    <w:rsid w:val="008D2AAB"/>
    <w:rsid w:val="008D309C"/>
    <w:rsid w:val="008D58F9"/>
    <w:rsid w:val="008E3338"/>
    <w:rsid w:val="008E47BE"/>
    <w:rsid w:val="008E5207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8A0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5C01"/>
    <w:rsid w:val="0095696D"/>
    <w:rsid w:val="0096482F"/>
    <w:rsid w:val="00964E3A"/>
    <w:rsid w:val="00967126"/>
    <w:rsid w:val="00970EAE"/>
    <w:rsid w:val="00971627"/>
    <w:rsid w:val="00972797"/>
    <w:rsid w:val="0097279D"/>
    <w:rsid w:val="009748D0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7F9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330"/>
    <w:rsid w:val="009E0142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2D53"/>
    <w:rsid w:val="00A1446F"/>
    <w:rsid w:val="00A14FBE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683"/>
    <w:rsid w:val="00A82CB4"/>
    <w:rsid w:val="00A837A8"/>
    <w:rsid w:val="00A83C36"/>
    <w:rsid w:val="00A932BB"/>
    <w:rsid w:val="00A93579"/>
    <w:rsid w:val="00A93934"/>
    <w:rsid w:val="00A95D51"/>
    <w:rsid w:val="00A9733F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051"/>
    <w:rsid w:val="00B43672"/>
    <w:rsid w:val="00B473D8"/>
    <w:rsid w:val="00B5165A"/>
    <w:rsid w:val="00B52130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63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F47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78A"/>
    <w:rsid w:val="00C9047F"/>
    <w:rsid w:val="00C9058C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5EA"/>
    <w:rsid w:val="00D76631"/>
    <w:rsid w:val="00D768B7"/>
    <w:rsid w:val="00D77492"/>
    <w:rsid w:val="00D80C95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AAC"/>
    <w:rsid w:val="00DA7A8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DAA"/>
    <w:rsid w:val="00DD5BCC"/>
    <w:rsid w:val="00DD6D54"/>
    <w:rsid w:val="00DD7509"/>
    <w:rsid w:val="00DD79C7"/>
    <w:rsid w:val="00DD7D6E"/>
    <w:rsid w:val="00DE1D61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3C9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13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B5B"/>
    <w:rsid w:val="00E500F1"/>
    <w:rsid w:val="00E51446"/>
    <w:rsid w:val="00E529C8"/>
    <w:rsid w:val="00E55CBD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684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6E84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1D2A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653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B05"/>
    <w:rsid w:val="00F36FE0"/>
    <w:rsid w:val="00F37EA8"/>
    <w:rsid w:val="00F40B14"/>
    <w:rsid w:val="00F41186"/>
    <w:rsid w:val="00F41C5D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FB2"/>
    <w:rsid w:val="00F7758F"/>
    <w:rsid w:val="00F82811"/>
    <w:rsid w:val="00F84153"/>
    <w:rsid w:val="00F84368"/>
    <w:rsid w:val="00F85661"/>
    <w:rsid w:val="00F96602"/>
    <w:rsid w:val="00F9735A"/>
    <w:rsid w:val="00FA32FC"/>
    <w:rsid w:val="00FA3E7E"/>
    <w:rsid w:val="00FA59FD"/>
    <w:rsid w:val="00FA5D8C"/>
    <w:rsid w:val="00FA6403"/>
    <w:rsid w:val="00FB16CD"/>
    <w:rsid w:val="00FB73AE"/>
    <w:rsid w:val="00FC0D1B"/>
    <w:rsid w:val="00FC4F0F"/>
    <w:rsid w:val="00FC5388"/>
    <w:rsid w:val="00FC726C"/>
    <w:rsid w:val="00FD1B4B"/>
    <w:rsid w:val="00FD1B94"/>
    <w:rsid w:val="00FD6A7B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C6A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EEFBAD-1028-46FD-BC9E-BC04070D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C36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3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365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3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65F"/>
    <w:rPr>
      <w:b/>
      <w:bCs/>
    </w:rPr>
  </w:style>
  <w:style w:type="paragraph" w:styleId="Revision">
    <w:name w:val="Revision"/>
    <w:hidden/>
    <w:uiPriority w:val="99"/>
    <w:semiHidden/>
    <w:rsid w:val="00974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2366</Characters>
  <Application>Microsoft Office Word</Application>
  <DocSecurity>4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HB02980 (Committee Report (Unamended))</vt:lpstr>
    </vt:vector>
  </TitlesOfParts>
  <Company>State of Texas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27111</dc:subject>
  <dc:creator>State of Texas</dc:creator>
  <dc:description>SB 1300 by Hughes-(H)Judiciary &amp; Civil Jurisprudence</dc:description>
  <cp:lastModifiedBy>Thomas Weis</cp:lastModifiedBy>
  <cp:revision>2</cp:revision>
  <cp:lastPrinted>2003-11-26T17:21:00Z</cp:lastPrinted>
  <dcterms:created xsi:type="dcterms:W3CDTF">2023-05-03T23:52:00Z</dcterms:created>
  <dcterms:modified xsi:type="dcterms:W3CDTF">2023-05-03T23:52:00Z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23.119.579</vt:lpwstr>
  </property>
</Properties>
</file>