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9BD" w:rsidRDefault="003C09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9222F151E846A4A22F60C49A21BDD5"/>
          </w:placeholder>
        </w:sdtPr>
        <w:sdtContent>
          <w:r w:rsidRPr="005C2A78">
            <w:rPr>
              <w:rFonts w:cs="Times New Roman"/>
              <w:b/>
              <w:szCs w:val="24"/>
              <w:u w:val="single"/>
            </w:rPr>
            <w:t>BILL ANALYSIS</w:t>
          </w:r>
        </w:sdtContent>
      </w:sdt>
    </w:p>
    <w:p w:rsidR="003C09BD" w:rsidRPr="00585C31" w:rsidRDefault="003C09BD" w:rsidP="000F1DF9">
      <w:pPr>
        <w:spacing w:after="0" w:line="240" w:lineRule="auto"/>
        <w:rPr>
          <w:rFonts w:cs="Times New Roman"/>
          <w:szCs w:val="24"/>
        </w:rPr>
      </w:pPr>
    </w:p>
    <w:p w:rsidR="003C09BD" w:rsidRPr="00585C31" w:rsidRDefault="003C09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09BD" w:rsidTr="000F1DF9">
        <w:tc>
          <w:tcPr>
            <w:tcW w:w="2718" w:type="dxa"/>
          </w:tcPr>
          <w:p w:rsidR="003C09BD" w:rsidRPr="005C2A78" w:rsidRDefault="003C09BD" w:rsidP="006D756B">
            <w:pPr>
              <w:rPr>
                <w:rFonts w:cs="Times New Roman"/>
                <w:szCs w:val="24"/>
              </w:rPr>
            </w:pPr>
            <w:sdt>
              <w:sdtPr>
                <w:rPr>
                  <w:rFonts w:cs="Times New Roman"/>
                  <w:szCs w:val="24"/>
                </w:rPr>
                <w:alias w:val="Agency Title"/>
                <w:tag w:val="AgencyTitleContentControl"/>
                <w:id w:val="1920747753"/>
                <w:lock w:val="sdtContentLocked"/>
                <w:placeholder>
                  <w:docPart w:val="4DFA85FEA44E47C6BFA31AF038F7241C"/>
                </w:placeholder>
              </w:sdtPr>
              <w:sdtEndPr>
                <w:rPr>
                  <w:rFonts w:cstheme="minorBidi"/>
                  <w:szCs w:val="22"/>
                </w:rPr>
              </w:sdtEndPr>
              <w:sdtContent>
                <w:r>
                  <w:rPr>
                    <w:rFonts w:cs="Times New Roman"/>
                    <w:szCs w:val="24"/>
                  </w:rPr>
                  <w:t>Senate Research Center</w:t>
                </w:r>
              </w:sdtContent>
            </w:sdt>
          </w:p>
        </w:tc>
        <w:tc>
          <w:tcPr>
            <w:tcW w:w="6858" w:type="dxa"/>
          </w:tcPr>
          <w:p w:rsidR="003C09BD" w:rsidRPr="00FF6471" w:rsidRDefault="003C09BD" w:rsidP="000F1DF9">
            <w:pPr>
              <w:jc w:val="right"/>
              <w:rPr>
                <w:rFonts w:cs="Times New Roman"/>
                <w:szCs w:val="24"/>
              </w:rPr>
            </w:pPr>
            <w:sdt>
              <w:sdtPr>
                <w:rPr>
                  <w:rFonts w:cs="Times New Roman"/>
                  <w:szCs w:val="24"/>
                </w:rPr>
                <w:alias w:val="Bill Number"/>
                <w:tag w:val="BillNumberOne"/>
                <w:id w:val="-410784069"/>
                <w:lock w:val="sdtContentLocked"/>
                <w:placeholder>
                  <w:docPart w:val="9CD705578ED4491EB2ACACBF4FF30D52"/>
                </w:placeholder>
              </w:sdtPr>
              <w:sdtContent>
                <w:r>
                  <w:rPr>
                    <w:rFonts w:cs="Times New Roman"/>
                    <w:szCs w:val="24"/>
                  </w:rPr>
                  <w:t>C.S.S.B. 1332</w:t>
                </w:r>
              </w:sdtContent>
            </w:sdt>
          </w:p>
        </w:tc>
      </w:tr>
      <w:tr w:rsidR="003C09BD" w:rsidTr="000F1DF9">
        <w:sdt>
          <w:sdtPr>
            <w:rPr>
              <w:rFonts w:cs="Times New Roman"/>
              <w:szCs w:val="24"/>
            </w:rPr>
            <w:alias w:val="TLCNumber"/>
            <w:tag w:val="TLCNumber"/>
            <w:id w:val="-542600604"/>
            <w:lock w:val="sdtLocked"/>
            <w:placeholder>
              <w:docPart w:val="53AB5FDD10D444578F8E1AB831E3FA51"/>
            </w:placeholder>
          </w:sdtPr>
          <w:sdtContent>
            <w:tc>
              <w:tcPr>
                <w:tcW w:w="2718" w:type="dxa"/>
              </w:tcPr>
              <w:p w:rsidR="003C09BD" w:rsidRPr="000F1DF9" w:rsidRDefault="003C09BD" w:rsidP="00C65088">
                <w:pPr>
                  <w:rPr>
                    <w:rFonts w:cs="Times New Roman"/>
                    <w:szCs w:val="24"/>
                  </w:rPr>
                </w:pPr>
                <w:r>
                  <w:rPr>
                    <w:rFonts w:cs="Times New Roman"/>
                    <w:szCs w:val="24"/>
                  </w:rPr>
                  <w:t>88R11074 CJC-F</w:t>
                </w:r>
              </w:p>
            </w:tc>
          </w:sdtContent>
        </w:sdt>
        <w:tc>
          <w:tcPr>
            <w:tcW w:w="6858" w:type="dxa"/>
          </w:tcPr>
          <w:p w:rsidR="003C09BD" w:rsidRPr="005C2A78" w:rsidRDefault="003C09BD" w:rsidP="00073EDD">
            <w:pPr>
              <w:jc w:val="right"/>
              <w:rPr>
                <w:rFonts w:cs="Times New Roman"/>
                <w:szCs w:val="24"/>
              </w:rPr>
            </w:pPr>
            <w:sdt>
              <w:sdtPr>
                <w:rPr>
                  <w:rFonts w:cs="Times New Roman"/>
                  <w:szCs w:val="24"/>
                </w:rPr>
                <w:alias w:val="Author Label"/>
                <w:tag w:val="By"/>
                <w:id w:val="72399597"/>
                <w:lock w:val="sdtLocked"/>
                <w:placeholder>
                  <w:docPart w:val="88D24871CA1249978A63686977445A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99815267034F7784E959D4FA78F16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EFEBC8122F724F508FA4ABF79BC54DB3"/>
                </w:placeholder>
                <w:showingPlcHdr/>
              </w:sdtPr>
              <w:sdtContent/>
            </w:sdt>
            <w:sdt>
              <w:sdtPr>
                <w:rPr>
                  <w:rFonts w:cs="Times New Roman"/>
                  <w:szCs w:val="24"/>
                </w:rPr>
                <w:alias w:val="DualSponsor"/>
                <w:tag w:val="DualSponsor"/>
                <w:id w:val="1029379812"/>
                <w:lock w:val="sdtContentLocked"/>
                <w:placeholder>
                  <w:docPart w:val="F7BB9DE6434F426194AF5B6105DEC3AA"/>
                </w:placeholder>
                <w:showingPlcHdr/>
              </w:sdtPr>
              <w:sdtContent/>
            </w:sdt>
          </w:p>
        </w:tc>
      </w:tr>
      <w:tr w:rsidR="003C09BD" w:rsidTr="000F1DF9">
        <w:tc>
          <w:tcPr>
            <w:tcW w:w="2718" w:type="dxa"/>
          </w:tcPr>
          <w:p w:rsidR="003C09BD" w:rsidRPr="00BC7495" w:rsidRDefault="003C09BD" w:rsidP="000F1DF9">
            <w:pPr>
              <w:rPr>
                <w:rFonts w:cs="Times New Roman"/>
                <w:szCs w:val="24"/>
              </w:rPr>
            </w:pPr>
          </w:p>
        </w:tc>
        <w:sdt>
          <w:sdtPr>
            <w:rPr>
              <w:rFonts w:cs="Times New Roman"/>
              <w:szCs w:val="24"/>
            </w:rPr>
            <w:alias w:val="Committee"/>
            <w:tag w:val="Committee"/>
            <w:id w:val="1914272295"/>
            <w:lock w:val="sdtContentLocked"/>
            <w:placeholder>
              <w:docPart w:val="377D63C026C841A1B7A875D07BA1F545"/>
            </w:placeholder>
          </w:sdtPr>
          <w:sdtContent>
            <w:tc>
              <w:tcPr>
                <w:tcW w:w="6858" w:type="dxa"/>
              </w:tcPr>
              <w:p w:rsidR="003C09BD" w:rsidRPr="00FF6471" w:rsidRDefault="003C09BD" w:rsidP="000F1DF9">
                <w:pPr>
                  <w:jc w:val="right"/>
                  <w:rPr>
                    <w:rFonts w:cs="Times New Roman"/>
                    <w:szCs w:val="24"/>
                  </w:rPr>
                </w:pPr>
                <w:r>
                  <w:rPr>
                    <w:rFonts w:cs="Times New Roman"/>
                    <w:szCs w:val="24"/>
                  </w:rPr>
                  <w:t>Finance</w:t>
                </w:r>
              </w:p>
            </w:tc>
          </w:sdtContent>
        </w:sdt>
      </w:tr>
      <w:tr w:rsidR="003C09BD" w:rsidTr="000F1DF9">
        <w:tc>
          <w:tcPr>
            <w:tcW w:w="2718" w:type="dxa"/>
          </w:tcPr>
          <w:p w:rsidR="003C09BD" w:rsidRPr="00BC7495" w:rsidRDefault="003C09BD" w:rsidP="000F1DF9">
            <w:pPr>
              <w:rPr>
                <w:rFonts w:cs="Times New Roman"/>
                <w:szCs w:val="24"/>
              </w:rPr>
            </w:pPr>
          </w:p>
        </w:tc>
        <w:sdt>
          <w:sdtPr>
            <w:rPr>
              <w:rFonts w:cs="Times New Roman"/>
              <w:szCs w:val="24"/>
            </w:rPr>
            <w:alias w:val="Date"/>
            <w:tag w:val="DateContentControl"/>
            <w:id w:val="1178081906"/>
            <w:lock w:val="sdtLocked"/>
            <w:placeholder>
              <w:docPart w:val="9AD4BD198B384FA58EAFAB383EAA563F"/>
            </w:placeholder>
            <w:date w:fullDate="2023-03-29T00:00:00Z">
              <w:dateFormat w:val="M/d/yyyy"/>
              <w:lid w:val="en-US"/>
              <w:storeMappedDataAs w:val="dateTime"/>
              <w:calendar w:val="gregorian"/>
            </w:date>
          </w:sdtPr>
          <w:sdtContent>
            <w:tc>
              <w:tcPr>
                <w:tcW w:w="6858" w:type="dxa"/>
              </w:tcPr>
              <w:p w:rsidR="003C09BD" w:rsidRPr="00FF6471" w:rsidRDefault="003C09BD" w:rsidP="000F1DF9">
                <w:pPr>
                  <w:jc w:val="right"/>
                  <w:rPr>
                    <w:rFonts w:cs="Times New Roman"/>
                    <w:szCs w:val="24"/>
                  </w:rPr>
                </w:pPr>
                <w:r>
                  <w:rPr>
                    <w:rFonts w:cs="Times New Roman"/>
                    <w:szCs w:val="24"/>
                  </w:rPr>
                  <w:t>3/29/2023</w:t>
                </w:r>
              </w:p>
            </w:tc>
          </w:sdtContent>
        </w:sdt>
      </w:tr>
      <w:tr w:rsidR="003C09BD" w:rsidTr="000F1DF9">
        <w:tc>
          <w:tcPr>
            <w:tcW w:w="2718" w:type="dxa"/>
          </w:tcPr>
          <w:p w:rsidR="003C09BD" w:rsidRPr="00BC7495" w:rsidRDefault="003C09BD" w:rsidP="000F1DF9">
            <w:pPr>
              <w:rPr>
                <w:rFonts w:cs="Times New Roman"/>
                <w:szCs w:val="24"/>
              </w:rPr>
            </w:pPr>
          </w:p>
        </w:tc>
        <w:sdt>
          <w:sdtPr>
            <w:rPr>
              <w:rFonts w:cs="Times New Roman"/>
              <w:szCs w:val="24"/>
            </w:rPr>
            <w:alias w:val="BA Version"/>
            <w:tag w:val="BAVersion"/>
            <w:id w:val="-1685590809"/>
            <w:lock w:val="sdtContentLocked"/>
            <w:placeholder>
              <w:docPart w:val="91936EBAFF8249A5A38FB16ED3C100E3"/>
            </w:placeholder>
          </w:sdtPr>
          <w:sdtContent>
            <w:tc>
              <w:tcPr>
                <w:tcW w:w="6858" w:type="dxa"/>
              </w:tcPr>
              <w:p w:rsidR="003C09BD" w:rsidRPr="00FF6471" w:rsidRDefault="003C09BD" w:rsidP="000F1DF9">
                <w:pPr>
                  <w:jc w:val="right"/>
                  <w:rPr>
                    <w:rFonts w:cs="Times New Roman"/>
                    <w:szCs w:val="24"/>
                  </w:rPr>
                </w:pPr>
                <w:r>
                  <w:rPr>
                    <w:rFonts w:cs="Times New Roman"/>
                    <w:szCs w:val="24"/>
                  </w:rPr>
                  <w:t>Committee Report (Substituted)</w:t>
                </w:r>
              </w:p>
            </w:tc>
          </w:sdtContent>
        </w:sdt>
      </w:tr>
    </w:tbl>
    <w:p w:rsidR="003C09BD" w:rsidRPr="00FF6471" w:rsidRDefault="003C09BD" w:rsidP="000F1DF9">
      <w:pPr>
        <w:spacing w:after="0" w:line="240" w:lineRule="auto"/>
        <w:rPr>
          <w:rFonts w:cs="Times New Roman"/>
          <w:szCs w:val="24"/>
        </w:rPr>
      </w:pPr>
    </w:p>
    <w:p w:rsidR="003C09BD" w:rsidRPr="00FF6471" w:rsidRDefault="003C09BD" w:rsidP="000F1DF9">
      <w:pPr>
        <w:spacing w:after="0" w:line="240" w:lineRule="auto"/>
        <w:rPr>
          <w:rFonts w:cs="Times New Roman"/>
          <w:szCs w:val="24"/>
        </w:rPr>
      </w:pPr>
    </w:p>
    <w:p w:rsidR="003C09BD" w:rsidRPr="00FF6471" w:rsidRDefault="003C09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72E9C5A79B4D4A916FE7D36D57F4DF"/>
        </w:placeholder>
      </w:sdtPr>
      <w:sdtContent>
        <w:p w:rsidR="003C09BD" w:rsidRDefault="003C09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7D8E5A411024EE590DB83E0B6A80C82"/>
        </w:placeholder>
      </w:sdtPr>
      <w:sdtContent>
        <w:p w:rsidR="003C09BD" w:rsidRDefault="003C09BD" w:rsidP="00F552A7">
          <w:pPr>
            <w:pStyle w:val="NormalWeb"/>
            <w:spacing w:before="0" w:beforeAutospacing="0" w:after="0" w:afterAutospacing="0"/>
            <w:jc w:val="both"/>
            <w:divId w:val="2827630"/>
            <w:rPr>
              <w:rFonts w:eastAsia="Times New Roman"/>
              <w:bCs/>
            </w:rPr>
          </w:pPr>
        </w:p>
        <w:p w:rsidR="003C09BD" w:rsidRPr="00F552A7" w:rsidRDefault="003C09BD" w:rsidP="00F552A7">
          <w:pPr>
            <w:pStyle w:val="NormalWeb"/>
            <w:spacing w:before="0" w:beforeAutospacing="0" w:after="0" w:afterAutospacing="0"/>
            <w:jc w:val="both"/>
            <w:divId w:val="2827630"/>
          </w:pPr>
          <w:r w:rsidRPr="00F552A7">
            <w:t>The Texas Historical Commission's mission is to protect and preserve the state's historic and prehistoric resources for the use, education, enjoyment, and economic benefit of present and future generations.</w:t>
          </w:r>
        </w:p>
        <w:p w:rsidR="003C09BD" w:rsidRPr="00F552A7" w:rsidRDefault="003C09BD" w:rsidP="00F552A7">
          <w:pPr>
            <w:pStyle w:val="NormalWeb"/>
            <w:spacing w:before="0" w:beforeAutospacing="0" w:after="0" w:afterAutospacing="0"/>
            <w:jc w:val="both"/>
            <w:divId w:val="2827630"/>
          </w:pPr>
          <w:r w:rsidRPr="00F552A7">
            <w:t> </w:t>
          </w:r>
        </w:p>
        <w:p w:rsidR="003C09BD" w:rsidRPr="00F552A7" w:rsidRDefault="003C09BD" w:rsidP="00F552A7">
          <w:pPr>
            <w:pStyle w:val="NormalWeb"/>
            <w:spacing w:before="0" w:beforeAutospacing="0" w:after="0" w:afterAutospacing="0"/>
            <w:jc w:val="both"/>
            <w:divId w:val="2827630"/>
          </w:pPr>
          <w:r w:rsidRPr="00F552A7">
            <w:t>S.B. 1332 establishes sustainable funding to preserve historic sites across the State of Texas. An endowment will allow the Texas Historical Commission to plan for its long-term needs, and future legislatures will be freed from having to consider dozens of potential historic site projects each biennium. Long-term funding would allow the Texas Historical Commission to create a sustainable maintenance cycle, and greater certainty around the restoration of historic courthouses across Texas.</w:t>
          </w:r>
        </w:p>
        <w:p w:rsidR="003C09BD" w:rsidRPr="00F552A7" w:rsidRDefault="003C09BD" w:rsidP="00F552A7">
          <w:pPr>
            <w:pStyle w:val="NormalWeb"/>
            <w:spacing w:before="0" w:beforeAutospacing="0" w:after="0" w:afterAutospacing="0"/>
            <w:jc w:val="both"/>
            <w:divId w:val="2827630"/>
          </w:pPr>
          <w:r w:rsidRPr="00F552A7">
            <w:t> </w:t>
          </w:r>
        </w:p>
        <w:p w:rsidR="003C09BD" w:rsidRPr="00F552A7" w:rsidRDefault="003C09BD" w:rsidP="00F552A7">
          <w:pPr>
            <w:pStyle w:val="NormalWeb"/>
            <w:spacing w:before="0" w:beforeAutospacing="0" w:after="0" w:afterAutospacing="0"/>
            <w:jc w:val="both"/>
            <w:divId w:val="2827630"/>
          </w:pPr>
          <w:r w:rsidRPr="00F552A7">
            <w:t>(Original Author's/Sponsor's Statement of Intent)</w:t>
          </w:r>
        </w:p>
        <w:p w:rsidR="003C09BD" w:rsidRPr="00D70925" w:rsidRDefault="003C09BD" w:rsidP="00F552A7">
          <w:pPr>
            <w:spacing w:after="0" w:line="240" w:lineRule="auto"/>
            <w:jc w:val="both"/>
            <w:rPr>
              <w:rFonts w:eastAsia="Times New Roman" w:cs="Times New Roman"/>
              <w:bCs/>
              <w:szCs w:val="24"/>
            </w:rPr>
          </w:pPr>
        </w:p>
      </w:sdtContent>
    </w:sdt>
    <w:p w:rsidR="003C09BD" w:rsidRDefault="003C09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1332 </w:t>
      </w:r>
      <w:bookmarkStart w:id="1" w:name="AmendsCurrentLaw"/>
      <w:bookmarkEnd w:id="1"/>
      <w:r>
        <w:rPr>
          <w:rFonts w:cs="Times New Roman"/>
          <w:szCs w:val="24"/>
        </w:rPr>
        <w:t xml:space="preserve">amends current law </w:t>
      </w:r>
      <w:r w:rsidRPr="00F552A7">
        <w:rPr>
          <w:rFonts w:cs="Times New Roman"/>
          <w:szCs w:val="24"/>
        </w:rPr>
        <w:t>relating to the provision of funding to the Texas Historical Commission for state historic sites.</w:t>
      </w:r>
    </w:p>
    <w:p w:rsidR="003C09BD" w:rsidRPr="00F552A7" w:rsidRDefault="003C09BD" w:rsidP="000F1DF9">
      <w:pPr>
        <w:spacing w:after="0" w:line="240" w:lineRule="auto"/>
        <w:jc w:val="both"/>
        <w:rPr>
          <w:rFonts w:eastAsia="Times New Roman" w:cs="Times New Roman"/>
          <w:szCs w:val="24"/>
        </w:rPr>
      </w:pPr>
    </w:p>
    <w:p w:rsidR="003C09BD" w:rsidRPr="005C2A78" w:rsidRDefault="003C09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0416C2DF7A4D779BF4DA1805AC3B5B"/>
          </w:placeholder>
        </w:sdtPr>
        <w:sdtContent>
          <w:r>
            <w:rPr>
              <w:rFonts w:eastAsia="Times New Roman" w:cs="Times New Roman"/>
              <w:b/>
              <w:szCs w:val="24"/>
              <w:u w:val="single"/>
            </w:rPr>
            <w:t>RULEMAKING AUTHORITY</w:t>
          </w:r>
        </w:sdtContent>
      </w:sdt>
    </w:p>
    <w:p w:rsidR="003C09BD" w:rsidRPr="006529C4" w:rsidRDefault="003C09BD" w:rsidP="00774EC7">
      <w:pPr>
        <w:spacing w:after="0" w:line="240" w:lineRule="auto"/>
        <w:jc w:val="both"/>
        <w:rPr>
          <w:rFonts w:cs="Times New Roman"/>
          <w:szCs w:val="24"/>
        </w:rPr>
      </w:pPr>
    </w:p>
    <w:p w:rsidR="003C09BD" w:rsidRPr="006529C4" w:rsidRDefault="003C09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09BD" w:rsidRPr="006529C4" w:rsidRDefault="003C09BD" w:rsidP="00774EC7">
      <w:pPr>
        <w:spacing w:after="0" w:line="240" w:lineRule="auto"/>
        <w:jc w:val="both"/>
        <w:rPr>
          <w:rFonts w:cs="Times New Roman"/>
          <w:szCs w:val="24"/>
        </w:rPr>
      </w:pPr>
    </w:p>
    <w:p w:rsidR="003C09BD" w:rsidRPr="005C2A78" w:rsidRDefault="003C09BD" w:rsidP="005122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D6A55F3D9346B5AE6B274E0DE56426"/>
          </w:placeholder>
        </w:sdtPr>
        <w:sdtContent>
          <w:r>
            <w:rPr>
              <w:rFonts w:eastAsia="Times New Roman" w:cs="Times New Roman"/>
              <w:b/>
              <w:szCs w:val="24"/>
              <w:u w:val="single"/>
            </w:rPr>
            <w:t>SECTION BY SECTION ANALYSIS</w:t>
          </w:r>
        </w:sdtContent>
      </w:sdt>
    </w:p>
    <w:p w:rsidR="003C09BD" w:rsidRPr="005C2A78" w:rsidRDefault="003C09BD" w:rsidP="005122B5">
      <w:pPr>
        <w:spacing w:after="0" w:line="240" w:lineRule="auto"/>
        <w:jc w:val="both"/>
        <w:rPr>
          <w:rFonts w:eastAsia="Times New Roman" w:cs="Times New Roman"/>
          <w:szCs w:val="24"/>
        </w:rPr>
      </w:pPr>
    </w:p>
    <w:p w:rsidR="003C09BD" w:rsidRDefault="003C09BD" w:rsidP="005122B5">
      <w:pPr>
        <w:spacing w:after="0" w:line="240" w:lineRule="auto"/>
        <w:jc w:val="both"/>
        <w:rPr>
          <w:rFonts w:eastAsia="Times New Roman" w:cs="Times New Roman"/>
          <w:szCs w:val="24"/>
        </w:rPr>
      </w:pPr>
      <w:r w:rsidRPr="00F552A7">
        <w:rPr>
          <w:rFonts w:eastAsia="Times New Roman" w:cs="Times New Roman"/>
          <w:szCs w:val="24"/>
        </w:rPr>
        <w:t>SECTION 1. Amends Section 442.0083(e), Government Code, as follows:</w:t>
      </w:r>
    </w:p>
    <w:p w:rsidR="003C09BD" w:rsidRPr="00F552A7" w:rsidRDefault="003C09BD" w:rsidP="005122B5">
      <w:pPr>
        <w:spacing w:after="0" w:line="240" w:lineRule="auto"/>
        <w:jc w:val="both"/>
        <w:rPr>
          <w:rFonts w:eastAsia="Times New Roman" w:cs="Times New Roman"/>
          <w:szCs w:val="24"/>
        </w:rPr>
      </w:pPr>
    </w:p>
    <w:p w:rsidR="003C09BD" w:rsidRDefault="003C09BD" w:rsidP="005122B5">
      <w:pPr>
        <w:spacing w:after="0" w:line="240" w:lineRule="auto"/>
        <w:ind w:left="720"/>
        <w:jc w:val="both"/>
        <w:rPr>
          <w:rFonts w:eastAsia="Times New Roman" w:cs="Times New Roman"/>
          <w:szCs w:val="24"/>
        </w:rPr>
      </w:pPr>
      <w:r w:rsidRPr="00F552A7">
        <w:rPr>
          <w:rFonts w:eastAsia="Times New Roman" w:cs="Times New Roman"/>
          <w:szCs w:val="24"/>
        </w:rPr>
        <w:t>(e) Prohibits a grant for a historic courthouse project from exceeding the greater of $10 million, rather than $6 million, or two percent of the amount appropriated for implementing the historic courthouse preservation program during the state fiscal biennium.</w:t>
      </w:r>
    </w:p>
    <w:p w:rsidR="003C09BD" w:rsidRPr="00F552A7" w:rsidRDefault="003C09BD" w:rsidP="005122B5">
      <w:pPr>
        <w:spacing w:after="0" w:line="240" w:lineRule="auto"/>
        <w:jc w:val="both"/>
        <w:rPr>
          <w:rFonts w:eastAsia="Times New Roman" w:cs="Times New Roman"/>
          <w:szCs w:val="24"/>
        </w:rPr>
      </w:pPr>
    </w:p>
    <w:p w:rsidR="003C09BD" w:rsidRDefault="003C09BD" w:rsidP="005122B5">
      <w:pPr>
        <w:spacing w:after="0" w:line="240" w:lineRule="auto"/>
        <w:jc w:val="both"/>
        <w:rPr>
          <w:rFonts w:eastAsia="Times New Roman" w:cs="Times New Roman"/>
          <w:szCs w:val="24"/>
        </w:rPr>
      </w:pPr>
      <w:r w:rsidRPr="00F552A7">
        <w:rPr>
          <w:rFonts w:eastAsia="Times New Roman" w:cs="Times New Roman"/>
          <w:szCs w:val="24"/>
        </w:rPr>
        <w:t>SECTION 2. Amends Subchapter A, Chapter 442, Government Code, by adding Section 442.0151, as follows:</w:t>
      </w:r>
    </w:p>
    <w:p w:rsidR="003C09BD" w:rsidRPr="00F552A7" w:rsidRDefault="003C09BD" w:rsidP="005122B5">
      <w:pPr>
        <w:spacing w:after="0" w:line="240" w:lineRule="auto"/>
        <w:jc w:val="both"/>
        <w:rPr>
          <w:rFonts w:eastAsia="Times New Roman" w:cs="Times New Roman"/>
          <w:szCs w:val="24"/>
        </w:rPr>
      </w:pPr>
    </w:p>
    <w:p w:rsidR="003C09BD" w:rsidRDefault="003C09BD" w:rsidP="005122B5">
      <w:pPr>
        <w:spacing w:after="0" w:line="240" w:lineRule="auto"/>
        <w:ind w:left="720"/>
        <w:jc w:val="both"/>
        <w:rPr>
          <w:rFonts w:eastAsia="Times New Roman" w:cs="Times New Roman"/>
          <w:szCs w:val="24"/>
        </w:rPr>
      </w:pPr>
      <w:r w:rsidRPr="00F552A7">
        <w:rPr>
          <w:rFonts w:eastAsia="Times New Roman" w:cs="Times New Roman"/>
          <w:szCs w:val="24"/>
        </w:rPr>
        <w:t>Sec. 442.0151. HISTORIC INFRASTRUCTURE SUSTAINABILITY TRUST FUND. (a)</w:t>
      </w:r>
      <w:r>
        <w:rPr>
          <w:rFonts w:eastAsia="Times New Roman" w:cs="Times New Roman"/>
          <w:szCs w:val="24"/>
        </w:rPr>
        <w:t xml:space="preserve"> Defines "trust company."</w:t>
      </w:r>
    </w:p>
    <w:p w:rsidR="003C09BD" w:rsidRDefault="003C09BD" w:rsidP="005122B5">
      <w:pPr>
        <w:spacing w:after="0" w:line="240" w:lineRule="auto"/>
        <w:ind w:left="72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Pr>
          <w:rFonts w:eastAsia="Times New Roman" w:cs="Times New Roman"/>
          <w:szCs w:val="24"/>
        </w:rPr>
        <w:t>(b)</w:t>
      </w:r>
      <w:r w:rsidRPr="00F552A7">
        <w:rPr>
          <w:rFonts w:eastAsia="Times New Roman" w:cs="Times New Roman"/>
          <w:szCs w:val="24"/>
        </w:rPr>
        <w:t xml:space="preserve"> Provides that the historic infrastructure sustainability trust fund (fund) is created as a trust fund outside the treasury held by the Texas Treasury Safekeeping Trust Company (trust company) and administered by the Comptroller of Public Accounts of the State of Texas (comptroller) as trustee on behalf of the people of this state to generate earnings on money in the fund for the purpose of maintaining, preserving, rehabilitating, and restoring historic sites throughout the state. </w:t>
      </w:r>
    </w:p>
    <w:p w:rsidR="003C09BD" w:rsidRPr="00F552A7" w:rsidRDefault="003C09BD" w:rsidP="005122B5">
      <w:pPr>
        <w:spacing w:after="0" w:line="240" w:lineRule="auto"/>
        <w:ind w:left="72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c</w:t>
      </w:r>
      <w:r w:rsidRPr="00F552A7">
        <w:rPr>
          <w:rFonts w:eastAsia="Times New Roman" w:cs="Times New Roman"/>
          <w:szCs w:val="24"/>
        </w:rPr>
        <w:t>) Provides that the fund consists of:</w:t>
      </w:r>
    </w:p>
    <w:p w:rsidR="003C09BD" w:rsidRPr="00F552A7"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ind w:left="2160"/>
        <w:jc w:val="both"/>
        <w:rPr>
          <w:rFonts w:eastAsia="Times New Roman" w:cs="Times New Roman"/>
          <w:szCs w:val="24"/>
        </w:rPr>
      </w:pPr>
      <w:r w:rsidRPr="00F552A7">
        <w:rPr>
          <w:rFonts w:eastAsia="Times New Roman" w:cs="Times New Roman"/>
          <w:szCs w:val="24"/>
        </w:rPr>
        <w:t>(1) money appropriated or transferred to the fund at the direction of the legislature;</w:t>
      </w:r>
    </w:p>
    <w:p w:rsidR="003C09BD" w:rsidRPr="00F552A7"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2160"/>
        <w:jc w:val="both"/>
        <w:rPr>
          <w:rFonts w:eastAsia="Times New Roman" w:cs="Times New Roman"/>
          <w:szCs w:val="24"/>
        </w:rPr>
      </w:pPr>
      <w:r w:rsidRPr="00F552A7">
        <w:rPr>
          <w:rFonts w:eastAsia="Times New Roman" w:cs="Times New Roman"/>
          <w:szCs w:val="24"/>
        </w:rPr>
        <w:t>(2) gifts, grants, and donations received by the Texas Historical Commission (THC) for a purpose for which money in the fund may be used under this section; and</w:t>
      </w:r>
    </w:p>
    <w:p w:rsidR="003C09BD"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2160"/>
        <w:jc w:val="both"/>
        <w:rPr>
          <w:rFonts w:eastAsia="Times New Roman" w:cs="Times New Roman"/>
          <w:szCs w:val="24"/>
        </w:rPr>
      </w:pPr>
      <w:r w:rsidRPr="00F552A7">
        <w:rPr>
          <w:rFonts w:eastAsia="Times New Roman" w:cs="Times New Roman"/>
          <w:szCs w:val="24"/>
        </w:rPr>
        <w:t>(3) the returns received from investment of money in the fund.</w:t>
      </w:r>
    </w:p>
    <w:p w:rsidR="003C09BD" w:rsidRPr="00F552A7"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d</w:t>
      </w:r>
      <w:r w:rsidRPr="00F552A7">
        <w:rPr>
          <w:rFonts w:eastAsia="Times New Roman" w:cs="Times New Roman"/>
          <w:szCs w:val="24"/>
        </w:rPr>
        <w:t>) Requires the trust company to hold, manage, and invest the fund</w:t>
      </w:r>
      <w:r>
        <w:rPr>
          <w:rFonts w:eastAsia="Times New Roman" w:cs="Times New Roman"/>
          <w:szCs w:val="24"/>
        </w:rPr>
        <w:t xml:space="preserve">, and </w:t>
      </w:r>
      <w:r w:rsidRPr="00F552A7">
        <w:rPr>
          <w:rFonts w:eastAsia="Times New Roman" w:cs="Times New Roman"/>
          <w:szCs w:val="24"/>
        </w:rPr>
        <w:t xml:space="preserve">to determine the amount available for distribution from the fund </w:t>
      </w:r>
      <w:r>
        <w:rPr>
          <w:rFonts w:eastAsia="Times New Roman" w:cs="Times New Roman"/>
          <w:szCs w:val="24"/>
        </w:rPr>
        <w:t>each year</w:t>
      </w:r>
      <w:r w:rsidRPr="00F552A7">
        <w:rPr>
          <w:rFonts w:eastAsia="Times New Roman" w:cs="Times New Roman"/>
          <w:szCs w:val="24"/>
        </w:rPr>
        <w:t xml:space="preserve"> in accordance with a distribution policy adopted by the comptroller</w:t>
      </w:r>
      <w:r>
        <w:rPr>
          <w:rFonts w:eastAsia="Times New Roman" w:cs="Times New Roman"/>
          <w:szCs w:val="24"/>
        </w:rPr>
        <w:t xml:space="preserve">. Requires that the distribution policy be </w:t>
      </w:r>
      <w:r w:rsidRPr="00F552A7">
        <w:rPr>
          <w:rFonts w:eastAsia="Times New Roman" w:cs="Times New Roman"/>
          <w:szCs w:val="24"/>
        </w:rPr>
        <w:t xml:space="preserve">designed to preserve the purchasing power of the </w:t>
      </w:r>
      <w:r>
        <w:rPr>
          <w:rFonts w:eastAsia="Times New Roman" w:cs="Times New Roman"/>
          <w:szCs w:val="24"/>
        </w:rPr>
        <w:t>assets of the fund</w:t>
      </w:r>
      <w:r w:rsidRPr="00F552A7">
        <w:rPr>
          <w:rFonts w:eastAsia="Times New Roman" w:cs="Times New Roman"/>
          <w:szCs w:val="24"/>
        </w:rPr>
        <w:t xml:space="preserve">, provide a stable and predictable </w:t>
      </w:r>
      <w:r>
        <w:rPr>
          <w:rFonts w:eastAsia="Times New Roman" w:cs="Times New Roman"/>
          <w:szCs w:val="24"/>
        </w:rPr>
        <w:t>series</w:t>
      </w:r>
      <w:r w:rsidRPr="00F552A7">
        <w:rPr>
          <w:rFonts w:eastAsia="Times New Roman" w:cs="Times New Roman"/>
          <w:szCs w:val="24"/>
        </w:rPr>
        <w:t xml:space="preserve"> of annual distributions</w:t>
      </w:r>
      <w:r>
        <w:rPr>
          <w:rFonts w:eastAsia="Times New Roman" w:cs="Times New Roman"/>
          <w:szCs w:val="24"/>
        </w:rPr>
        <w:t xml:space="preserve"> from the fund</w:t>
      </w:r>
      <w:r w:rsidRPr="00F552A7">
        <w:rPr>
          <w:rFonts w:eastAsia="Times New Roman" w:cs="Times New Roman"/>
          <w:szCs w:val="24"/>
        </w:rPr>
        <w:t>, and meet</w:t>
      </w:r>
      <w:r>
        <w:rPr>
          <w:rFonts w:eastAsia="Times New Roman" w:cs="Times New Roman"/>
          <w:szCs w:val="24"/>
        </w:rPr>
        <w:t xml:space="preserve"> the</w:t>
      </w:r>
      <w:r w:rsidRPr="00F552A7">
        <w:rPr>
          <w:rFonts w:eastAsia="Times New Roman" w:cs="Times New Roman"/>
          <w:szCs w:val="24"/>
        </w:rPr>
        <w:t xml:space="preserve"> liquidity needs of the fund as </w:t>
      </w:r>
      <w:r>
        <w:rPr>
          <w:rFonts w:eastAsia="Times New Roman" w:cs="Times New Roman"/>
          <w:szCs w:val="24"/>
        </w:rPr>
        <w:t>necessary</w:t>
      </w:r>
      <w:r w:rsidRPr="00F552A7">
        <w:rPr>
          <w:rFonts w:eastAsia="Times New Roman" w:cs="Times New Roman"/>
          <w:szCs w:val="24"/>
        </w:rPr>
        <w:t>. Requires that the expenses of managing the fund and its assets be paid from the fund. Prohibits money in the fund, except as provided by this section, from being used for any other purpose.</w:t>
      </w:r>
    </w:p>
    <w:p w:rsidR="003C09BD" w:rsidRPr="00F552A7"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e</w:t>
      </w:r>
      <w:r w:rsidRPr="00F552A7">
        <w:rPr>
          <w:rFonts w:eastAsia="Times New Roman" w:cs="Times New Roman"/>
          <w:szCs w:val="24"/>
        </w:rPr>
        <w:t xml:space="preserve">) Authorizes the trust company, in managing the assets of the fund, through procedures and subject to restrictions the trust company considers appropriate, to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w:t>
      </w:r>
      <w:r>
        <w:rPr>
          <w:rFonts w:eastAsia="Times New Roman" w:cs="Times New Roman"/>
          <w:szCs w:val="24"/>
        </w:rPr>
        <w:t>Requires</w:t>
      </w:r>
      <w:r w:rsidRPr="00F552A7">
        <w:rPr>
          <w:rFonts w:eastAsia="Times New Roman" w:cs="Times New Roman"/>
          <w:szCs w:val="24"/>
        </w:rPr>
        <w:t xml:space="preserve"> THC</w:t>
      </w:r>
      <w:r>
        <w:rPr>
          <w:rFonts w:eastAsia="Times New Roman" w:cs="Times New Roman"/>
          <w:szCs w:val="24"/>
        </w:rPr>
        <w:t>, at the request of the trust company,</w:t>
      </w:r>
      <w:r w:rsidRPr="00F552A7">
        <w:rPr>
          <w:rFonts w:eastAsia="Times New Roman" w:cs="Times New Roman"/>
          <w:szCs w:val="24"/>
        </w:rPr>
        <w:t xml:space="preserve"> </w:t>
      </w:r>
      <w:r>
        <w:rPr>
          <w:rFonts w:eastAsia="Times New Roman" w:cs="Times New Roman"/>
          <w:szCs w:val="24"/>
        </w:rPr>
        <w:t>to</w:t>
      </w:r>
      <w:r w:rsidRPr="00F552A7">
        <w:rPr>
          <w:rFonts w:eastAsia="Times New Roman" w:cs="Times New Roman"/>
          <w:szCs w:val="24"/>
        </w:rPr>
        <w:t xml:space="preserve"> provide the trust company with </w:t>
      </w:r>
      <w:r>
        <w:rPr>
          <w:rFonts w:eastAsia="Times New Roman" w:cs="Times New Roman"/>
          <w:szCs w:val="24"/>
        </w:rPr>
        <w:t>information the trust company determines is necessary to ensure than the trust company is able to achieve the objectives specified by Subsection (d)</w:t>
      </w:r>
      <w:r w:rsidRPr="00F552A7">
        <w:rPr>
          <w:rFonts w:eastAsia="Times New Roman" w:cs="Times New Roman"/>
          <w:szCs w:val="24"/>
        </w:rPr>
        <w:t>.</w:t>
      </w:r>
    </w:p>
    <w:p w:rsidR="003C09BD" w:rsidRPr="00F552A7"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f</w:t>
      </w:r>
      <w:r w:rsidRPr="00F552A7">
        <w:rPr>
          <w:rFonts w:eastAsia="Times New Roman" w:cs="Times New Roman"/>
          <w:szCs w:val="24"/>
        </w:rPr>
        <w:t xml:space="preserve">) Authorizes THC </w:t>
      </w:r>
      <w:r>
        <w:rPr>
          <w:rFonts w:eastAsia="Times New Roman" w:cs="Times New Roman"/>
          <w:szCs w:val="24"/>
        </w:rPr>
        <w:t xml:space="preserve">annually </w:t>
      </w:r>
      <w:r w:rsidRPr="00F552A7">
        <w:rPr>
          <w:rFonts w:eastAsia="Times New Roman" w:cs="Times New Roman"/>
          <w:szCs w:val="24"/>
        </w:rPr>
        <w:t xml:space="preserve">to request </w:t>
      </w:r>
      <w:r>
        <w:rPr>
          <w:rFonts w:eastAsia="Times New Roman" w:cs="Times New Roman"/>
          <w:szCs w:val="24"/>
        </w:rPr>
        <w:t>a</w:t>
      </w:r>
      <w:r w:rsidRPr="00F552A7">
        <w:rPr>
          <w:rFonts w:eastAsia="Times New Roman" w:cs="Times New Roman"/>
          <w:szCs w:val="24"/>
        </w:rPr>
        <w:t xml:space="preserve"> distribution </w:t>
      </w:r>
      <w:r>
        <w:rPr>
          <w:rFonts w:eastAsia="Times New Roman" w:cs="Times New Roman"/>
          <w:szCs w:val="24"/>
        </w:rPr>
        <w:t>from the fund in an</w:t>
      </w:r>
      <w:r w:rsidRPr="00F552A7">
        <w:rPr>
          <w:rFonts w:eastAsia="Times New Roman" w:cs="Times New Roman"/>
          <w:szCs w:val="24"/>
        </w:rPr>
        <w:t xml:space="preserve"> amount</w:t>
      </w:r>
      <w:r>
        <w:rPr>
          <w:rFonts w:eastAsia="Times New Roman" w:cs="Times New Roman"/>
          <w:szCs w:val="24"/>
        </w:rPr>
        <w:t xml:space="preserve"> that is prohibited from exceeding the amount</w:t>
      </w:r>
      <w:r w:rsidRPr="00F552A7">
        <w:rPr>
          <w:rFonts w:eastAsia="Times New Roman" w:cs="Times New Roman"/>
          <w:szCs w:val="24"/>
        </w:rPr>
        <w:t xml:space="preserve"> the trust company determines </w:t>
      </w:r>
      <w:r>
        <w:rPr>
          <w:rFonts w:eastAsia="Times New Roman" w:cs="Times New Roman"/>
          <w:szCs w:val="24"/>
        </w:rPr>
        <w:t xml:space="preserve">is </w:t>
      </w:r>
      <w:r w:rsidRPr="00F552A7">
        <w:rPr>
          <w:rFonts w:eastAsia="Times New Roman" w:cs="Times New Roman"/>
          <w:szCs w:val="24"/>
        </w:rPr>
        <w:t xml:space="preserve">available for distribution </w:t>
      </w:r>
      <w:r>
        <w:rPr>
          <w:rFonts w:eastAsia="Times New Roman" w:cs="Times New Roman"/>
          <w:szCs w:val="24"/>
        </w:rPr>
        <w:t>in the applicable year under Subsection (d)</w:t>
      </w:r>
      <w:r w:rsidRPr="00F552A7">
        <w:rPr>
          <w:rFonts w:eastAsia="Times New Roman" w:cs="Times New Roman"/>
          <w:szCs w:val="24"/>
        </w:rPr>
        <w:t xml:space="preserve">. Authorizes </w:t>
      </w:r>
      <w:r>
        <w:rPr>
          <w:rFonts w:eastAsia="Times New Roman" w:cs="Times New Roman"/>
          <w:szCs w:val="24"/>
        </w:rPr>
        <w:t xml:space="preserve">money distributed from the fund to THC to be used only </w:t>
      </w:r>
      <w:r w:rsidRPr="00F552A7">
        <w:rPr>
          <w:rFonts w:eastAsia="Times New Roman" w:cs="Times New Roman"/>
          <w:szCs w:val="24"/>
        </w:rPr>
        <w:t xml:space="preserve">for the purpose of maintaining, preserving, rehabilitating, and restoring state historic sites under the control of THC and for the historic courthouse preservation program under Section 442.0081 (Historic Courthouse Preservation and Maintenance Programs; Grant and Loans). Requires THC to </w:t>
      </w:r>
      <w:r>
        <w:rPr>
          <w:rFonts w:eastAsia="Times New Roman" w:cs="Times New Roman"/>
          <w:szCs w:val="24"/>
        </w:rPr>
        <w:t>allocate</w:t>
      </w:r>
      <w:r w:rsidRPr="00F552A7">
        <w:rPr>
          <w:rFonts w:eastAsia="Times New Roman" w:cs="Times New Roman"/>
          <w:szCs w:val="24"/>
        </w:rPr>
        <w:t xml:space="preserve"> at least one-third of </w:t>
      </w:r>
      <w:r>
        <w:rPr>
          <w:rFonts w:eastAsia="Times New Roman" w:cs="Times New Roman"/>
          <w:szCs w:val="24"/>
        </w:rPr>
        <w:t>each annual distribution from the fund under this subsection</w:t>
      </w:r>
      <w:r w:rsidRPr="00F552A7">
        <w:rPr>
          <w:rFonts w:eastAsia="Times New Roman" w:cs="Times New Roman"/>
          <w:szCs w:val="24"/>
        </w:rPr>
        <w:t xml:space="preserve"> </w:t>
      </w:r>
      <w:r>
        <w:rPr>
          <w:rFonts w:eastAsia="Times New Roman" w:cs="Times New Roman"/>
          <w:szCs w:val="24"/>
        </w:rPr>
        <w:t>for</w:t>
      </w:r>
      <w:r w:rsidRPr="00F552A7">
        <w:rPr>
          <w:rFonts w:eastAsia="Times New Roman" w:cs="Times New Roman"/>
          <w:szCs w:val="24"/>
        </w:rPr>
        <w:t xml:space="preserve"> the historic courthouse preservation program. Prohibits </w:t>
      </w:r>
      <w:r>
        <w:rPr>
          <w:rFonts w:eastAsia="Times New Roman" w:cs="Times New Roman"/>
          <w:szCs w:val="24"/>
        </w:rPr>
        <w:t xml:space="preserve">THC from using </w:t>
      </w:r>
      <w:r w:rsidRPr="00F552A7">
        <w:rPr>
          <w:rFonts w:eastAsia="Times New Roman" w:cs="Times New Roman"/>
          <w:szCs w:val="24"/>
        </w:rPr>
        <w:t xml:space="preserve">money </w:t>
      </w:r>
      <w:r>
        <w:rPr>
          <w:rFonts w:eastAsia="Times New Roman" w:cs="Times New Roman"/>
          <w:szCs w:val="24"/>
        </w:rPr>
        <w:t>received from an annual distribution under this subsection</w:t>
      </w:r>
      <w:r w:rsidRPr="00F552A7">
        <w:rPr>
          <w:rFonts w:eastAsia="Times New Roman" w:cs="Times New Roman"/>
          <w:szCs w:val="24"/>
        </w:rPr>
        <w:t xml:space="preserve"> to pay salaries, employee benefits, costs associated with employee benefits, or administration, operating, or program costs of THC.</w:t>
      </w:r>
    </w:p>
    <w:p w:rsidR="003C09BD" w:rsidRDefault="003C09BD" w:rsidP="005122B5">
      <w:pPr>
        <w:spacing w:after="0" w:line="240" w:lineRule="auto"/>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g</w:t>
      </w:r>
      <w:r w:rsidRPr="00F552A7">
        <w:rPr>
          <w:rFonts w:eastAsia="Times New Roman" w:cs="Times New Roman"/>
          <w:szCs w:val="24"/>
        </w:rPr>
        <w:t>) Authorizes THC, subject to Subsection (</w:t>
      </w:r>
      <w:r>
        <w:rPr>
          <w:rFonts w:eastAsia="Times New Roman" w:cs="Times New Roman"/>
          <w:szCs w:val="24"/>
        </w:rPr>
        <w:t>h</w:t>
      </w:r>
      <w:r w:rsidRPr="00F552A7">
        <w:rPr>
          <w:rFonts w:eastAsia="Times New Roman" w:cs="Times New Roman"/>
          <w:szCs w:val="24"/>
        </w:rPr>
        <w:t xml:space="preserve">) </w:t>
      </w:r>
      <w:r>
        <w:rPr>
          <w:rFonts w:eastAsia="Times New Roman" w:cs="Times New Roman"/>
          <w:szCs w:val="24"/>
        </w:rPr>
        <w:t xml:space="preserve">and </w:t>
      </w:r>
      <w:r w:rsidRPr="00F552A7">
        <w:rPr>
          <w:rFonts w:eastAsia="Times New Roman" w:cs="Times New Roman"/>
          <w:szCs w:val="24"/>
        </w:rPr>
        <w:t xml:space="preserve">not more frequently than once per calendar year, to request an additional distribution from the fund in </w:t>
      </w:r>
      <w:r>
        <w:rPr>
          <w:rFonts w:eastAsia="Times New Roman" w:cs="Times New Roman"/>
          <w:szCs w:val="24"/>
        </w:rPr>
        <w:t>an amount that exceeds</w:t>
      </w:r>
      <w:r w:rsidRPr="00F552A7">
        <w:rPr>
          <w:rFonts w:eastAsia="Times New Roman" w:cs="Times New Roman"/>
          <w:szCs w:val="24"/>
        </w:rPr>
        <w:t xml:space="preserve"> the amount the trust company determines is available for distribution</w:t>
      </w:r>
      <w:r>
        <w:rPr>
          <w:rFonts w:eastAsia="Times New Roman" w:cs="Times New Roman"/>
          <w:szCs w:val="24"/>
        </w:rPr>
        <w:t xml:space="preserve"> from the fund in that year</w:t>
      </w:r>
      <w:r w:rsidRPr="00F552A7">
        <w:rPr>
          <w:rFonts w:eastAsia="Times New Roman" w:cs="Times New Roman"/>
          <w:szCs w:val="24"/>
        </w:rPr>
        <w:t xml:space="preserve"> under Subsection (</w:t>
      </w:r>
      <w:r>
        <w:rPr>
          <w:rFonts w:eastAsia="Times New Roman" w:cs="Times New Roman"/>
          <w:szCs w:val="24"/>
        </w:rPr>
        <w:t>d</w:t>
      </w:r>
      <w:r w:rsidRPr="00F552A7">
        <w:rPr>
          <w:rFonts w:eastAsia="Times New Roman" w:cs="Times New Roman"/>
          <w:szCs w:val="24"/>
        </w:rPr>
        <w:t>)</w:t>
      </w:r>
      <w:r>
        <w:rPr>
          <w:rFonts w:eastAsia="Times New Roman" w:cs="Times New Roman"/>
          <w:szCs w:val="24"/>
        </w:rPr>
        <w:t xml:space="preserve">. Authorizes an additional distribution under this subsection to </w:t>
      </w:r>
      <w:r w:rsidRPr="00F552A7">
        <w:rPr>
          <w:rFonts w:eastAsia="Times New Roman" w:cs="Times New Roman"/>
          <w:szCs w:val="24"/>
        </w:rPr>
        <w:t xml:space="preserve">be used for </w:t>
      </w:r>
      <w:r>
        <w:rPr>
          <w:rFonts w:eastAsia="Times New Roman" w:cs="Times New Roman"/>
          <w:szCs w:val="24"/>
        </w:rPr>
        <w:t>a</w:t>
      </w:r>
      <w:r w:rsidRPr="00F552A7">
        <w:rPr>
          <w:rFonts w:eastAsia="Times New Roman" w:cs="Times New Roman"/>
          <w:szCs w:val="24"/>
        </w:rPr>
        <w:t xml:space="preserve"> purpose described </w:t>
      </w:r>
      <w:r>
        <w:rPr>
          <w:rFonts w:eastAsia="Times New Roman" w:cs="Times New Roman"/>
          <w:szCs w:val="24"/>
        </w:rPr>
        <w:t>by</w:t>
      </w:r>
      <w:r w:rsidRPr="00F552A7">
        <w:rPr>
          <w:rFonts w:eastAsia="Times New Roman" w:cs="Times New Roman"/>
          <w:szCs w:val="24"/>
        </w:rPr>
        <w:t xml:space="preserve"> Subsection (</w:t>
      </w:r>
      <w:r>
        <w:rPr>
          <w:rFonts w:eastAsia="Times New Roman" w:cs="Times New Roman"/>
          <w:szCs w:val="24"/>
        </w:rPr>
        <w:t>f</w:t>
      </w:r>
      <w:r w:rsidRPr="00F552A7">
        <w:rPr>
          <w:rFonts w:eastAsia="Times New Roman" w:cs="Times New Roman"/>
          <w:szCs w:val="24"/>
        </w:rPr>
        <w:t xml:space="preserve">). Prohibits </w:t>
      </w:r>
      <w:r>
        <w:rPr>
          <w:rFonts w:eastAsia="Times New Roman" w:cs="Times New Roman"/>
          <w:szCs w:val="24"/>
        </w:rPr>
        <w:t>the trust company from making an additional distribution under this subsection if the distribution would negatively affect the purchasing power of the assets as determined by the terms of the distribution policy adopted by the comptroller under Subsection (d).</w:t>
      </w:r>
    </w:p>
    <w:p w:rsidR="003C09BD" w:rsidRPr="00F552A7"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h</w:t>
      </w:r>
      <w:r w:rsidRPr="00F552A7">
        <w:rPr>
          <w:rFonts w:eastAsia="Times New Roman" w:cs="Times New Roman"/>
          <w:szCs w:val="24"/>
        </w:rPr>
        <w:t xml:space="preserve">) Authorizes THC to </w:t>
      </w:r>
      <w:r>
        <w:rPr>
          <w:rFonts w:eastAsia="Times New Roman" w:cs="Times New Roman"/>
          <w:szCs w:val="24"/>
        </w:rPr>
        <w:t>receive</w:t>
      </w:r>
      <w:r w:rsidRPr="00F552A7">
        <w:rPr>
          <w:rFonts w:eastAsia="Times New Roman" w:cs="Times New Roman"/>
          <w:szCs w:val="24"/>
        </w:rPr>
        <w:t xml:space="preserve"> a</w:t>
      </w:r>
      <w:r>
        <w:rPr>
          <w:rFonts w:eastAsia="Times New Roman" w:cs="Times New Roman"/>
          <w:szCs w:val="24"/>
        </w:rPr>
        <w:t>n additional</w:t>
      </w:r>
      <w:r w:rsidRPr="00F552A7">
        <w:rPr>
          <w:rFonts w:eastAsia="Times New Roman" w:cs="Times New Roman"/>
          <w:szCs w:val="24"/>
        </w:rPr>
        <w:t xml:space="preserve"> distribution </w:t>
      </w:r>
      <w:r>
        <w:rPr>
          <w:rFonts w:eastAsia="Times New Roman" w:cs="Times New Roman"/>
          <w:szCs w:val="24"/>
        </w:rPr>
        <w:t>from</w:t>
      </w:r>
      <w:r w:rsidRPr="00F552A7">
        <w:rPr>
          <w:rFonts w:eastAsia="Times New Roman" w:cs="Times New Roman"/>
          <w:szCs w:val="24"/>
        </w:rPr>
        <w:t xml:space="preserve"> the fund authorized under Subsection (</w:t>
      </w:r>
      <w:r>
        <w:rPr>
          <w:rFonts w:eastAsia="Times New Roman" w:cs="Times New Roman"/>
          <w:szCs w:val="24"/>
        </w:rPr>
        <w:t>g</w:t>
      </w:r>
      <w:r w:rsidRPr="00F552A7">
        <w:rPr>
          <w:rFonts w:eastAsia="Times New Roman" w:cs="Times New Roman"/>
          <w:szCs w:val="24"/>
        </w:rPr>
        <w:t xml:space="preserve">) </w:t>
      </w:r>
      <w:r>
        <w:rPr>
          <w:rFonts w:eastAsia="Times New Roman" w:cs="Times New Roman"/>
          <w:szCs w:val="24"/>
        </w:rPr>
        <w:t xml:space="preserve">only </w:t>
      </w:r>
      <w:r w:rsidRPr="00F552A7">
        <w:rPr>
          <w:rFonts w:eastAsia="Times New Roman" w:cs="Times New Roman"/>
          <w:szCs w:val="24"/>
        </w:rPr>
        <w:t>after THC certifies to the Legislative Budget Board (LBB) that:</w:t>
      </w:r>
    </w:p>
    <w:p w:rsidR="003C09BD" w:rsidRPr="00F552A7"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ind w:left="2160"/>
        <w:jc w:val="both"/>
        <w:rPr>
          <w:rFonts w:eastAsia="Times New Roman" w:cs="Times New Roman"/>
          <w:szCs w:val="24"/>
        </w:rPr>
      </w:pPr>
      <w:r w:rsidRPr="00F552A7">
        <w:rPr>
          <w:rFonts w:eastAsia="Times New Roman" w:cs="Times New Roman"/>
          <w:szCs w:val="24"/>
        </w:rPr>
        <w:t>(1) THC has reviewed and approved the use of the money;</w:t>
      </w:r>
    </w:p>
    <w:p w:rsidR="003C09BD" w:rsidRPr="00F552A7"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2160"/>
        <w:jc w:val="both"/>
        <w:rPr>
          <w:rFonts w:eastAsia="Times New Roman" w:cs="Times New Roman"/>
          <w:szCs w:val="24"/>
        </w:rPr>
      </w:pPr>
      <w:r w:rsidRPr="00F552A7">
        <w:rPr>
          <w:rFonts w:eastAsia="Times New Roman" w:cs="Times New Roman"/>
          <w:szCs w:val="24"/>
        </w:rPr>
        <w:t>(2) all purchases made with the money will conform to any applicable provision of law governing state procurement and contracting; and</w:t>
      </w:r>
    </w:p>
    <w:p w:rsidR="003C09BD" w:rsidRPr="00F552A7"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2160"/>
        <w:jc w:val="both"/>
        <w:rPr>
          <w:rFonts w:eastAsia="Times New Roman" w:cs="Times New Roman"/>
          <w:szCs w:val="24"/>
        </w:rPr>
      </w:pPr>
      <w:r w:rsidRPr="00F552A7">
        <w:rPr>
          <w:rFonts w:eastAsia="Times New Roman" w:cs="Times New Roman"/>
          <w:szCs w:val="24"/>
        </w:rPr>
        <w:t>(3) the money will not be used to:</w:t>
      </w:r>
    </w:p>
    <w:p w:rsidR="003C09BD" w:rsidRPr="00F552A7"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2880"/>
        <w:jc w:val="both"/>
        <w:rPr>
          <w:rFonts w:eastAsia="Times New Roman" w:cs="Times New Roman"/>
          <w:szCs w:val="24"/>
        </w:rPr>
      </w:pPr>
      <w:r w:rsidRPr="00F552A7">
        <w:rPr>
          <w:rFonts w:eastAsia="Times New Roman" w:cs="Times New Roman"/>
          <w:szCs w:val="24"/>
        </w:rPr>
        <w:t>(A) pay salaries, employee benefits, costs associated with employee benefits, or administration, operating</w:t>
      </w:r>
      <w:r>
        <w:rPr>
          <w:rFonts w:eastAsia="Times New Roman" w:cs="Times New Roman"/>
          <w:szCs w:val="24"/>
        </w:rPr>
        <w:t>,</w:t>
      </w:r>
      <w:r w:rsidRPr="00F552A7">
        <w:rPr>
          <w:rFonts w:eastAsia="Times New Roman" w:cs="Times New Roman"/>
          <w:szCs w:val="24"/>
        </w:rPr>
        <w:t xml:space="preserve"> or program costs of THC or </w:t>
      </w:r>
      <w:r>
        <w:rPr>
          <w:rFonts w:eastAsia="Times New Roman" w:cs="Times New Roman"/>
          <w:szCs w:val="24"/>
        </w:rPr>
        <w:t>state historic sites under the control of THC</w:t>
      </w:r>
      <w:r w:rsidRPr="00F552A7">
        <w:rPr>
          <w:rFonts w:eastAsia="Times New Roman" w:cs="Times New Roman"/>
          <w:szCs w:val="24"/>
        </w:rPr>
        <w:t>;</w:t>
      </w:r>
    </w:p>
    <w:p w:rsidR="003C09BD" w:rsidRPr="00F552A7" w:rsidRDefault="003C09BD" w:rsidP="005122B5">
      <w:pPr>
        <w:spacing w:after="0" w:line="240" w:lineRule="auto"/>
        <w:ind w:left="2880"/>
        <w:jc w:val="both"/>
        <w:rPr>
          <w:rFonts w:eastAsia="Times New Roman" w:cs="Times New Roman"/>
          <w:szCs w:val="24"/>
        </w:rPr>
      </w:pPr>
    </w:p>
    <w:p w:rsidR="003C09BD" w:rsidRDefault="003C09BD" w:rsidP="005122B5">
      <w:pPr>
        <w:spacing w:after="0" w:line="240" w:lineRule="auto"/>
        <w:ind w:left="2880"/>
        <w:jc w:val="both"/>
        <w:rPr>
          <w:rFonts w:eastAsia="Times New Roman" w:cs="Times New Roman"/>
          <w:szCs w:val="24"/>
        </w:rPr>
      </w:pPr>
      <w:r w:rsidRPr="00F552A7">
        <w:rPr>
          <w:rFonts w:eastAsia="Times New Roman" w:cs="Times New Roman"/>
          <w:szCs w:val="24"/>
        </w:rPr>
        <w:t>(B) acquire new historic sites or real property; or</w:t>
      </w:r>
    </w:p>
    <w:p w:rsidR="003C09BD" w:rsidRPr="00F552A7" w:rsidRDefault="003C09BD" w:rsidP="005122B5">
      <w:pPr>
        <w:spacing w:after="0" w:line="240" w:lineRule="auto"/>
        <w:ind w:left="2880"/>
        <w:jc w:val="both"/>
        <w:rPr>
          <w:rFonts w:eastAsia="Times New Roman" w:cs="Times New Roman"/>
          <w:szCs w:val="24"/>
        </w:rPr>
      </w:pPr>
    </w:p>
    <w:p w:rsidR="003C09BD" w:rsidRDefault="003C09BD" w:rsidP="005122B5">
      <w:pPr>
        <w:spacing w:after="0" w:line="240" w:lineRule="auto"/>
        <w:ind w:left="2880"/>
        <w:jc w:val="both"/>
        <w:rPr>
          <w:rFonts w:eastAsia="Times New Roman" w:cs="Times New Roman"/>
          <w:szCs w:val="24"/>
        </w:rPr>
      </w:pPr>
      <w:r w:rsidRPr="00F552A7">
        <w:rPr>
          <w:rFonts w:eastAsia="Times New Roman" w:cs="Times New Roman"/>
          <w:szCs w:val="24"/>
        </w:rPr>
        <w:t xml:space="preserve">(C) purchase capital equipment that is not related to the rehabilitation or restoration of a </w:t>
      </w:r>
      <w:r>
        <w:rPr>
          <w:rFonts w:eastAsia="Times New Roman" w:cs="Times New Roman"/>
          <w:szCs w:val="24"/>
        </w:rPr>
        <w:t>historic site under the control of THC or the historic courthouse preservation program under Section 442.0081</w:t>
      </w:r>
      <w:r w:rsidRPr="00F552A7">
        <w:rPr>
          <w:rFonts w:eastAsia="Times New Roman" w:cs="Times New Roman"/>
          <w:szCs w:val="24"/>
        </w:rPr>
        <w:t>.</w:t>
      </w:r>
    </w:p>
    <w:p w:rsidR="003C09BD" w:rsidRDefault="003C09BD" w:rsidP="005122B5">
      <w:pPr>
        <w:spacing w:after="0" w:line="240" w:lineRule="auto"/>
        <w:ind w:left="216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i</w:t>
      </w:r>
      <w:r w:rsidRPr="00F552A7">
        <w:rPr>
          <w:rFonts w:eastAsia="Times New Roman" w:cs="Times New Roman"/>
          <w:szCs w:val="24"/>
        </w:rPr>
        <w:t>) Provides that all expenditures by THC under this section are subject to audit by the state auditor.</w:t>
      </w:r>
    </w:p>
    <w:p w:rsidR="003C09BD" w:rsidRPr="00F552A7"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ind w:left="1440"/>
        <w:jc w:val="both"/>
        <w:rPr>
          <w:rFonts w:eastAsia="Times New Roman" w:cs="Times New Roman"/>
          <w:szCs w:val="24"/>
        </w:rPr>
      </w:pPr>
      <w:r w:rsidRPr="00F552A7">
        <w:rPr>
          <w:rFonts w:eastAsia="Times New Roman" w:cs="Times New Roman"/>
          <w:szCs w:val="24"/>
        </w:rPr>
        <w:t>(</w:t>
      </w:r>
      <w:r>
        <w:rPr>
          <w:rFonts w:eastAsia="Times New Roman" w:cs="Times New Roman"/>
          <w:szCs w:val="24"/>
        </w:rPr>
        <w:t>j</w:t>
      </w:r>
      <w:r w:rsidRPr="00F552A7">
        <w:rPr>
          <w:rFonts w:eastAsia="Times New Roman" w:cs="Times New Roman"/>
          <w:szCs w:val="24"/>
        </w:rPr>
        <w:t>) Requires THC to include in the strategic plan submitted under Section 2056.002 (Strategic Plans) a report on each project funded using money in the fund during the two-year period preceding the date on which THC submits the plan and a list of each project THC anticipates will be funded using money in the fund for the period covered by the plan.</w:t>
      </w:r>
    </w:p>
    <w:p w:rsidR="003C09BD" w:rsidRPr="005C2A78" w:rsidRDefault="003C09BD" w:rsidP="005122B5">
      <w:pPr>
        <w:spacing w:after="0" w:line="240" w:lineRule="auto"/>
        <w:ind w:left="1440"/>
        <w:jc w:val="both"/>
        <w:rPr>
          <w:rFonts w:eastAsia="Times New Roman" w:cs="Times New Roman"/>
          <w:szCs w:val="24"/>
        </w:rPr>
      </w:pPr>
    </w:p>
    <w:p w:rsidR="003C09BD" w:rsidRDefault="003C09BD" w:rsidP="005122B5">
      <w:pPr>
        <w:spacing w:after="0" w:line="240" w:lineRule="auto"/>
        <w:jc w:val="both"/>
        <w:rPr>
          <w:rFonts w:eastAsia="Times New Roman" w:cs="Times New Roman"/>
          <w:szCs w:val="24"/>
        </w:rPr>
      </w:pPr>
      <w:r w:rsidRPr="00F552A7">
        <w:rPr>
          <w:rFonts w:eastAsia="Times New Roman" w:cs="Times New Roman"/>
          <w:szCs w:val="24"/>
        </w:rPr>
        <w:t>SECTION 3. Amends Section 442.073, Government Code, by amending Subsection (d) and adding Subsection (e), as follows:</w:t>
      </w:r>
    </w:p>
    <w:p w:rsidR="003C09BD" w:rsidRPr="00F552A7" w:rsidRDefault="003C09BD" w:rsidP="005122B5">
      <w:pPr>
        <w:spacing w:after="0" w:line="240" w:lineRule="auto"/>
        <w:jc w:val="both"/>
        <w:rPr>
          <w:rFonts w:eastAsia="Times New Roman" w:cs="Times New Roman"/>
          <w:szCs w:val="24"/>
        </w:rPr>
      </w:pPr>
    </w:p>
    <w:p w:rsidR="003C09BD" w:rsidRDefault="003C09BD" w:rsidP="005122B5">
      <w:pPr>
        <w:spacing w:after="0" w:line="240" w:lineRule="auto"/>
        <w:ind w:left="720"/>
        <w:jc w:val="both"/>
        <w:rPr>
          <w:rFonts w:eastAsia="Times New Roman" w:cs="Times New Roman"/>
          <w:szCs w:val="24"/>
        </w:rPr>
      </w:pPr>
      <w:r w:rsidRPr="00F552A7">
        <w:rPr>
          <w:rFonts w:eastAsia="Times New Roman" w:cs="Times New Roman"/>
          <w:szCs w:val="24"/>
        </w:rPr>
        <w:t>(d) Creates an exception under Subsection (e).</w:t>
      </w:r>
    </w:p>
    <w:p w:rsidR="003C09BD" w:rsidRPr="00F552A7" w:rsidRDefault="003C09BD" w:rsidP="005122B5">
      <w:pPr>
        <w:spacing w:after="0" w:line="240" w:lineRule="auto"/>
        <w:ind w:left="720"/>
        <w:jc w:val="both"/>
        <w:rPr>
          <w:rFonts w:eastAsia="Times New Roman" w:cs="Times New Roman"/>
          <w:szCs w:val="24"/>
        </w:rPr>
      </w:pPr>
    </w:p>
    <w:p w:rsidR="003C09BD" w:rsidRDefault="003C09BD" w:rsidP="005122B5">
      <w:pPr>
        <w:spacing w:after="0" w:line="240" w:lineRule="auto"/>
        <w:ind w:left="720"/>
        <w:jc w:val="both"/>
        <w:rPr>
          <w:rFonts w:eastAsia="Times New Roman" w:cs="Times New Roman"/>
          <w:szCs w:val="24"/>
        </w:rPr>
      </w:pPr>
      <w:r w:rsidRPr="00F552A7">
        <w:rPr>
          <w:rFonts w:eastAsia="Times New Roman" w:cs="Times New Roman"/>
          <w:szCs w:val="24"/>
        </w:rPr>
        <w:t>(e) Authorizes THC to make an expenditure from the account for a historic site that is not described by Section 442.072(a) (relating to providing that certain historical sites and parks are under THC's jurisdiction). Requires THC to provide notice of an expenditure described by this subsection to LBB not later than the 30th day after the date THC makes the expenditure. Authorizes LBB to establish the procedure by which THC provides notice to LBB under this subsection.</w:t>
      </w:r>
    </w:p>
    <w:p w:rsidR="003C09BD" w:rsidRPr="00F552A7" w:rsidRDefault="003C09BD" w:rsidP="005122B5">
      <w:pPr>
        <w:spacing w:after="0" w:line="240" w:lineRule="auto"/>
        <w:jc w:val="both"/>
        <w:rPr>
          <w:rFonts w:eastAsia="Times New Roman" w:cs="Times New Roman"/>
          <w:szCs w:val="24"/>
        </w:rPr>
      </w:pPr>
    </w:p>
    <w:p w:rsidR="003C09BD" w:rsidRPr="00C8671F" w:rsidRDefault="003C09BD" w:rsidP="005122B5">
      <w:pPr>
        <w:spacing w:after="0" w:line="240" w:lineRule="auto"/>
        <w:jc w:val="both"/>
        <w:rPr>
          <w:rFonts w:eastAsia="Times New Roman" w:cs="Times New Roman"/>
          <w:szCs w:val="24"/>
        </w:rPr>
      </w:pPr>
      <w:r w:rsidRPr="00F552A7">
        <w:rPr>
          <w:rFonts w:eastAsia="Times New Roman" w:cs="Times New Roman"/>
          <w:szCs w:val="24"/>
        </w:rPr>
        <w:t>SECTION 4. Effective date: September 1, 2023.</w:t>
      </w:r>
    </w:p>
    <w:sectPr w:rsidR="003C09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D5A" w:rsidRDefault="00D63D5A" w:rsidP="000F1DF9">
      <w:pPr>
        <w:spacing w:after="0" w:line="240" w:lineRule="auto"/>
      </w:pPr>
      <w:r>
        <w:separator/>
      </w:r>
    </w:p>
  </w:endnote>
  <w:endnote w:type="continuationSeparator" w:id="0">
    <w:p w:rsidR="00D63D5A" w:rsidRDefault="00D63D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3D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09B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09BD">
                <w:rPr>
                  <w:sz w:val="20"/>
                  <w:szCs w:val="20"/>
                </w:rPr>
                <w:t>C.S.S.B. 1332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09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3D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D5A" w:rsidRDefault="00D63D5A" w:rsidP="000F1DF9">
      <w:pPr>
        <w:spacing w:after="0" w:line="240" w:lineRule="auto"/>
      </w:pPr>
      <w:r>
        <w:separator/>
      </w:r>
    </w:p>
  </w:footnote>
  <w:footnote w:type="continuationSeparator" w:id="0">
    <w:p w:rsidR="00D63D5A" w:rsidRDefault="00D63D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09BD"/>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3D5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E3B0"/>
  <w15:docId w15:val="{17BA8D49-AD0C-4D1B-B40B-36BFADB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09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9222F151E846A4A22F60C49A21BDD5"/>
        <w:category>
          <w:name w:val="General"/>
          <w:gallery w:val="placeholder"/>
        </w:category>
        <w:types>
          <w:type w:val="bbPlcHdr"/>
        </w:types>
        <w:behaviors>
          <w:behavior w:val="content"/>
        </w:behaviors>
        <w:guid w:val="{4D02595B-D263-476A-AB6E-A06189D44812}"/>
      </w:docPartPr>
      <w:docPartBody>
        <w:p w:rsidR="00000000" w:rsidRDefault="003836D3"/>
      </w:docPartBody>
    </w:docPart>
    <w:docPart>
      <w:docPartPr>
        <w:name w:val="4DFA85FEA44E47C6BFA31AF038F7241C"/>
        <w:category>
          <w:name w:val="General"/>
          <w:gallery w:val="placeholder"/>
        </w:category>
        <w:types>
          <w:type w:val="bbPlcHdr"/>
        </w:types>
        <w:behaviors>
          <w:behavior w:val="content"/>
        </w:behaviors>
        <w:guid w:val="{3503A8F0-FA7B-4158-BC1F-55D981D98609}"/>
      </w:docPartPr>
      <w:docPartBody>
        <w:p w:rsidR="00000000" w:rsidRDefault="003836D3"/>
      </w:docPartBody>
    </w:docPart>
    <w:docPart>
      <w:docPartPr>
        <w:name w:val="9CD705578ED4491EB2ACACBF4FF30D52"/>
        <w:category>
          <w:name w:val="General"/>
          <w:gallery w:val="placeholder"/>
        </w:category>
        <w:types>
          <w:type w:val="bbPlcHdr"/>
        </w:types>
        <w:behaviors>
          <w:behavior w:val="content"/>
        </w:behaviors>
        <w:guid w:val="{2B44C952-2188-4215-B397-DF5A82F1760A}"/>
      </w:docPartPr>
      <w:docPartBody>
        <w:p w:rsidR="00000000" w:rsidRDefault="003836D3"/>
      </w:docPartBody>
    </w:docPart>
    <w:docPart>
      <w:docPartPr>
        <w:name w:val="53AB5FDD10D444578F8E1AB831E3FA51"/>
        <w:category>
          <w:name w:val="General"/>
          <w:gallery w:val="placeholder"/>
        </w:category>
        <w:types>
          <w:type w:val="bbPlcHdr"/>
        </w:types>
        <w:behaviors>
          <w:behavior w:val="content"/>
        </w:behaviors>
        <w:guid w:val="{FC280435-BA45-4801-9049-CB24221B2DBF}"/>
      </w:docPartPr>
      <w:docPartBody>
        <w:p w:rsidR="00000000" w:rsidRDefault="003836D3"/>
      </w:docPartBody>
    </w:docPart>
    <w:docPart>
      <w:docPartPr>
        <w:name w:val="88D24871CA1249978A63686977445A50"/>
        <w:category>
          <w:name w:val="General"/>
          <w:gallery w:val="placeholder"/>
        </w:category>
        <w:types>
          <w:type w:val="bbPlcHdr"/>
        </w:types>
        <w:behaviors>
          <w:behavior w:val="content"/>
        </w:behaviors>
        <w:guid w:val="{FBBC57DB-84D3-4336-B813-0324C57BCD79}"/>
      </w:docPartPr>
      <w:docPartBody>
        <w:p w:rsidR="00000000" w:rsidRDefault="003836D3"/>
      </w:docPartBody>
    </w:docPart>
    <w:docPart>
      <w:docPartPr>
        <w:name w:val="8E99815267034F7784E959D4FA78F166"/>
        <w:category>
          <w:name w:val="General"/>
          <w:gallery w:val="placeholder"/>
        </w:category>
        <w:types>
          <w:type w:val="bbPlcHdr"/>
        </w:types>
        <w:behaviors>
          <w:behavior w:val="content"/>
        </w:behaviors>
        <w:guid w:val="{6FFAADB9-143A-4D4E-BF86-8652B278F81C}"/>
      </w:docPartPr>
      <w:docPartBody>
        <w:p w:rsidR="00000000" w:rsidRDefault="003836D3"/>
      </w:docPartBody>
    </w:docPart>
    <w:docPart>
      <w:docPartPr>
        <w:name w:val="EFEBC8122F724F508FA4ABF79BC54DB3"/>
        <w:category>
          <w:name w:val="General"/>
          <w:gallery w:val="placeholder"/>
        </w:category>
        <w:types>
          <w:type w:val="bbPlcHdr"/>
        </w:types>
        <w:behaviors>
          <w:behavior w:val="content"/>
        </w:behaviors>
        <w:guid w:val="{57150CD0-ED5F-4B7A-82C5-5EE6AAD14A80}"/>
      </w:docPartPr>
      <w:docPartBody>
        <w:p w:rsidR="00000000" w:rsidRDefault="003836D3"/>
      </w:docPartBody>
    </w:docPart>
    <w:docPart>
      <w:docPartPr>
        <w:name w:val="F7BB9DE6434F426194AF5B6105DEC3AA"/>
        <w:category>
          <w:name w:val="General"/>
          <w:gallery w:val="placeholder"/>
        </w:category>
        <w:types>
          <w:type w:val="bbPlcHdr"/>
        </w:types>
        <w:behaviors>
          <w:behavior w:val="content"/>
        </w:behaviors>
        <w:guid w:val="{09AB3E78-E27F-41EF-8B96-F1F8BE755EE0}"/>
      </w:docPartPr>
      <w:docPartBody>
        <w:p w:rsidR="00000000" w:rsidRDefault="003836D3"/>
      </w:docPartBody>
    </w:docPart>
    <w:docPart>
      <w:docPartPr>
        <w:name w:val="377D63C026C841A1B7A875D07BA1F545"/>
        <w:category>
          <w:name w:val="General"/>
          <w:gallery w:val="placeholder"/>
        </w:category>
        <w:types>
          <w:type w:val="bbPlcHdr"/>
        </w:types>
        <w:behaviors>
          <w:behavior w:val="content"/>
        </w:behaviors>
        <w:guid w:val="{CC19C0D6-7D6C-4A9D-A7B6-4A95EA59DC6C}"/>
      </w:docPartPr>
      <w:docPartBody>
        <w:p w:rsidR="00000000" w:rsidRDefault="003836D3"/>
      </w:docPartBody>
    </w:docPart>
    <w:docPart>
      <w:docPartPr>
        <w:name w:val="9AD4BD198B384FA58EAFAB383EAA563F"/>
        <w:category>
          <w:name w:val="General"/>
          <w:gallery w:val="placeholder"/>
        </w:category>
        <w:types>
          <w:type w:val="bbPlcHdr"/>
        </w:types>
        <w:behaviors>
          <w:behavior w:val="content"/>
        </w:behaviors>
        <w:guid w:val="{B07BEFEA-3675-4882-AAFB-D0423DDDA8ED}"/>
      </w:docPartPr>
      <w:docPartBody>
        <w:p w:rsidR="00000000" w:rsidRDefault="00B60C79" w:rsidP="00B60C79">
          <w:pPr>
            <w:pStyle w:val="9AD4BD198B384FA58EAFAB383EAA563F"/>
          </w:pPr>
          <w:r w:rsidRPr="00A30DD1">
            <w:rPr>
              <w:rStyle w:val="PlaceholderText"/>
            </w:rPr>
            <w:t>Click here to enter a date.</w:t>
          </w:r>
        </w:p>
      </w:docPartBody>
    </w:docPart>
    <w:docPart>
      <w:docPartPr>
        <w:name w:val="91936EBAFF8249A5A38FB16ED3C100E3"/>
        <w:category>
          <w:name w:val="General"/>
          <w:gallery w:val="placeholder"/>
        </w:category>
        <w:types>
          <w:type w:val="bbPlcHdr"/>
        </w:types>
        <w:behaviors>
          <w:behavior w:val="content"/>
        </w:behaviors>
        <w:guid w:val="{DFA64ED0-A87C-43DF-A3C3-DE8203B8B33C}"/>
      </w:docPartPr>
      <w:docPartBody>
        <w:p w:rsidR="00000000" w:rsidRDefault="003836D3"/>
      </w:docPartBody>
    </w:docPart>
    <w:docPart>
      <w:docPartPr>
        <w:name w:val="5172E9C5A79B4D4A916FE7D36D57F4DF"/>
        <w:category>
          <w:name w:val="General"/>
          <w:gallery w:val="placeholder"/>
        </w:category>
        <w:types>
          <w:type w:val="bbPlcHdr"/>
        </w:types>
        <w:behaviors>
          <w:behavior w:val="content"/>
        </w:behaviors>
        <w:guid w:val="{2C68D0FA-5D6A-485F-809D-F5DD032D422B}"/>
      </w:docPartPr>
      <w:docPartBody>
        <w:p w:rsidR="00000000" w:rsidRDefault="003836D3"/>
      </w:docPartBody>
    </w:docPart>
    <w:docPart>
      <w:docPartPr>
        <w:name w:val="97D8E5A411024EE590DB83E0B6A80C82"/>
        <w:category>
          <w:name w:val="General"/>
          <w:gallery w:val="placeholder"/>
        </w:category>
        <w:types>
          <w:type w:val="bbPlcHdr"/>
        </w:types>
        <w:behaviors>
          <w:behavior w:val="content"/>
        </w:behaviors>
        <w:guid w:val="{41E121BB-3F9B-4D25-9F5F-7AE895C3FCCD}"/>
      </w:docPartPr>
      <w:docPartBody>
        <w:p w:rsidR="00000000" w:rsidRDefault="00B60C79" w:rsidP="00B60C79">
          <w:pPr>
            <w:pStyle w:val="97D8E5A411024EE590DB83E0B6A80C82"/>
          </w:pPr>
          <w:r>
            <w:rPr>
              <w:rFonts w:eastAsia="Times New Roman" w:cs="Times New Roman"/>
              <w:bCs/>
              <w:szCs w:val="24"/>
            </w:rPr>
            <w:t xml:space="preserve"> </w:t>
          </w:r>
        </w:p>
      </w:docPartBody>
    </w:docPart>
    <w:docPart>
      <w:docPartPr>
        <w:name w:val="170416C2DF7A4D779BF4DA1805AC3B5B"/>
        <w:category>
          <w:name w:val="General"/>
          <w:gallery w:val="placeholder"/>
        </w:category>
        <w:types>
          <w:type w:val="bbPlcHdr"/>
        </w:types>
        <w:behaviors>
          <w:behavior w:val="content"/>
        </w:behaviors>
        <w:guid w:val="{5F0B57D3-B4E8-444D-812F-BD0C65D8DD53}"/>
      </w:docPartPr>
      <w:docPartBody>
        <w:p w:rsidR="00000000" w:rsidRDefault="003836D3"/>
      </w:docPartBody>
    </w:docPart>
    <w:docPart>
      <w:docPartPr>
        <w:name w:val="1DD6A55F3D9346B5AE6B274E0DE56426"/>
        <w:category>
          <w:name w:val="General"/>
          <w:gallery w:val="placeholder"/>
        </w:category>
        <w:types>
          <w:type w:val="bbPlcHdr"/>
        </w:types>
        <w:behaviors>
          <w:behavior w:val="content"/>
        </w:behaviors>
        <w:guid w:val="{78A72425-821A-4BF2-9623-2956C3BE5ECE}"/>
      </w:docPartPr>
      <w:docPartBody>
        <w:p w:rsidR="00000000" w:rsidRDefault="00383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36D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0C7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C79"/>
    <w:rPr>
      <w:color w:val="808080"/>
    </w:rPr>
  </w:style>
  <w:style w:type="paragraph" w:customStyle="1" w:styleId="9AD4BD198B384FA58EAFAB383EAA563F">
    <w:name w:val="9AD4BD198B384FA58EAFAB383EAA563F"/>
    <w:rsid w:val="00B60C79"/>
    <w:pPr>
      <w:spacing w:after="160" w:line="259" w:lineRule="auto"/>
    </w:pPr>
  </w:style>
  <w:style w:type="paragraph" w:customStyle="1" w:styleId="97D8E5A411024EE590DB83E0B6A80C82">
    <w:name w:val="97D8E5A411024EE590DB83E0B6A80C82"/>
    <w:rsid w:val="00B60C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1149</Words>
  <Characters>6553</Characters>
  <Application>Microsoft Office Word</Application>
  <DocSecurity>0</DocSecurity>
  <Lines>54</Lines>
  <Paragraphs>15</Paragraphs>
  <ScaleCrop>false</ScaleCrop>
  <Company>Texas Legislative Council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2023-03-29T22:55:00Z</dcterms:modified>
</cp:coreProperties>
</file>

<file path=docProps/custom.xml><?xml version="1.0" encoding="utf-8"?>
<op:Properties xmlns:vt="http://schemas.openxmlformats.org/officeDocument/2006/docPropsVTypes" xmlns:op="http://schemas.openxmlformats.org/officeDocument/2006/custom-properties"/>
</file>