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A57C4" w14:paraId="554C07B6" w14:textId="77777777" w:rsidTr="00345119">
        <w:tc>
          <w:tcPr>
            <w:tcW w:w="9576" w:type="dxa"/>
            <w:noWrap/>
          </w:tcPr>
          <w:p w14:paraId="0CD7FE86" w14:textId="77777777" w:rsidR="008423E4" w:rsidRPr="0022177D" w:rsidRDefault="00C63EDE" w:rsidP="00970CD0">
            <w:pPr>
              <w:pStyle w:val="Heading1"/>
            </w:pPr>
            <w:r w:rsidRPr="00631897">
              <w:t>BILL ANALYSIS</w:t>
            </w:r>
          </w:p>
        </w:tc>
      </w:tr>
    </w:tbl>
    <w:p w14:paraId="60D0B153" w14:textId="77777777" w:rsidR="008423E4" w:rsidRPr="0022177D" w:rsidRDefault="008423E4" w:rsidP="00970CD0">
      <w:pPr>
        <w:jc w:val="center"/>
      </w:pPr>
    </w:p>
    <w:p w14:paraId="412F9FAF" w14:textId="77777777" w:rsidR="008423E4" w:rsidRPr="00B31F0E" w:rsidRDefault="008423E4" w:rsidP="00970CD0"/>
    <w:p w14:paraId="5B0DD0F1" w14:textId="77777777" w:rsidR="008423E4" w:rsidRPr="00742794" w:rsidRDefault="008423E4" w:rsidP="00970CD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57C4" w14:paraId="23FFF616" w14:textId="77777777" w:rsidTr="00345119">
        <w:tc>
          <w:tcPr>
            <w:tcW w:w="9576" w:type="dxa"/>
          </w:tcPr>
          <w:p w14:paraId="3C159B9F" w14:textId="174708C8" w:rsidR="008423E4" w:rsidRPr="00861995" w:rsidRDefault="00C63EDE" w:rsidP="00970CD0">
            <w:pPr>
              <w:jc w:val="right"/>
            </w:pPr>
            <w:r>
              <w:t>S.B. 1404</w:t>
            </w:r>
          </w:p>
        </w:tc>
      </w:tr>
      <w:tr w:rsidR="009A57C4" w14:paraId="1647974E" w14:textId="77777777" w:rsidTr="00345119">
        <w:tc>
          <w:tcPr>
            <w:tcW w:w="9576" w:type="dxa"/>
          </w:tcPr>
          <w:p w14:paraId="2D905CDF" w14:textId="1D5C9AE0" w:rsidR="008423E4" w:rsidRPr="00861995" w:rsidRDefault="00C63EDE" w:rsidP="00970CD0">
            <w:pPr>
              <w:jc w:val="right"/>
            </w:pPr>
            <w:r>
              <w:t xml:space="preserve">By: </w:t>
            </w:r>
            <w:r w:rsidR="00CB181D">
              <w:t>Parker</w:t>
            </w:r>
          </w:p>
        </w:tc>
      </w:tr>
      <w:tr w:rsidR="009A57C4" w14:paraId="128A4D53" w14:textId="77777777" w:rsidTr="00345119">
        <w:tc>
          <w:tcPr>
            <w:tcW w:w="9576" w:type="dxa"/>
          </w:tcPr>
          <w:p w14:paraId="538438F7" w14:textId="5D8BFD60" w:rsidR="008423E4" w:rsidRPr="00861995" w:rsidRDefault="00C63EDE" w:rsidP="00970CD0">
            <w:pPr>
              <w:jc w:val="right"/>
            </w:pPr>
            <w:r>
              <w:t>State Affairs</w:t>
            </w:r>
          </w:p>
        </w:tc>
      </w:tr>
      <w:tr w:rsidR="009A57C4" w14:paraId="4D0485D9" w14:textId="77777777" w:rsidTr="00345119">
        <w:tc>
          <w:tcPr>
            <w:tcW w:w="9576" w:type="dxa"/>
          </w:tcPr>
          <w:p w14:paraId="5EC52AB7" w14:textId="2B8949C9" w:rsidR="008423E4" w:rsidRDefault="00C63EDE" w:rsidP="00970CD0">
            <w:pPr>
              <w:jc w:val="right"/>
            </w:pPr>
            <w:r>
              <w:t>Committee Report (Unamended)</w:t>
            </w:r>
          </w:p>
        </w:tc>
      </w:tr>
    </w:tbl>
    <w:p w14:paraId="418FA7BB" w14:textId="77777777" w:rsidR="008423E4" w:rsidRDefault="008423E4" w:rsidP="00970CD0">
      <w:pPr>
        <w:tabs>
          <w:tab w:val="right" w:pos="9360"/>
        </w:tabs>
      </w:pPr>
    </w:p>
    <w:p w14:paraId="3F2278DD" w14:textId="77777777" w:rsidR="008423E4" w:rsidRDefault="008423E4" w:rsidP="00970CD0"/>
    <w:p w14:paraId="28839E83" w14:textId="77777777" w:rsidR="008423E4" w:rsidRDefault="008423E4" w:rsidP="00970CD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A57C4" w14:paraId="5F7210AA" w14:textId="77777777" w:rsidTr="00345119">
        <w:tc>
          <w:tcPr>
            <w:tcW w:w="9576" w:type="dxa"/>
          </w:tcPr>
          <w:p w14:paraId="5C64D477" w14:textId="77777777" w:rsidR="008423E4" w:rsidRPr="00A8133F" w:rsidRDefault="00C63EDE" w:rsidP="00970C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37C102" w14:textId="77777777" w:rsidR="008423E4" w:rsidRDefault="008423E4" w:rsidP="00970CD0"/>
          <w:p w14:paraId="2CF43328" w14:textId="17885019" w:rsidR="008423E4" w:rsidRDefault="00C63EDE" w:rsidP="00970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E4979">
              <w:t xml:space="preserve">Nuclear power is a reliable and safe source of energy with the potential to meet </w:t>
            </w:r>
            <w:r>
              <w:t>the state's</w:t>
            </w:r>
            <w:r w:rsidRPr="006E4979">
              <w:t xml:space="preserve"> growing energy demands.</w:t>
            </w:r>
            <w:r>
              <w:t xml:space="preserve"> </w:t>
            </w:r>
            <w:r w:rsidRPr="006E4979">
              <w:t xml:space="preserve">The state would benefit from further study of the potential benefits of converting sites with coal-fired electric generating facilities to </w:t>
            </w:r>
            <w:r w:rsidRPr="006E4979">
              <w:t>nuclear generating facilities instead and would also benefit from the development of a model plan for implementation of this conversion.</w:t>
            </w:r>
            <w:r>
              <w:t xml:space="preserve"> Accordingly, </w:t>
            </w:r>
            <w:r w:rsidRPr="006E4979">
              <w:t>S</w:t>
            </w:r>
            <w:r>
              <w:t>.</w:t>
            </w:r>
            <w:r w:rsidRPr="006E4979">
              <w:t>B</w:t>
            </w:r>
            <w:r>
              <w:t>.</w:t>
            </w:r>
            <w:r w:rsidRPr="006E4979">
              <w:t xml:space="preserve"> 1404</w:t>
            </w:r>
            <w:r>
              <w:t xml:space="preserve"> seeks to</w:t>
            </w:r>
            <w:r w:rsidRPr="006E4979">
              <w:t xml:space="preserve"> establish a work group to study the benefits of coal</w:t>
            </w:r>
            <w:r w:rsidR="00AD61BA">
              <w:noBreakHyphen/>
            </w:r>
            <w:r w:rsidRPr="006E4979">
              <w:t>to-nuclear facility conversion and</w:t>
            </w:r>
            <w:r w:rsidRPr="006E4979">
              <w:t xml:space="preserve"> provide recommendations to the legislature on the feasibility and advantages of such a conversion.</w:t>
            </w:r>
          </w:p>
          <w:p w14:paraId="2F5B5FAC" w14:textId="77777777" w:rsidR="008423E4" w:rsidRPr="00E26B13" w:rsidRDefault="008423E4" w:rsidP="00970CD0">
            <w:pPr>
              <w:rPr>
                <w:b/>
              </w:rPr>
            </w:pPr>
          </w:p>
        </w:tc>
      </w:tr>
      <w:tr w:rsidR="009A57C4" w14:paraId="35EA8924" w14:textId="77777777" w:rsidTr="00345119">
        <w:tc>
          <w:tcPr>
            <w:tcW w:w="9576" w:type="dxa"/>
          </w:tcPr>
          <w:p w14:paraId="35F63907" w14:textId="77777777" w:rsidR="0017725B" w:rsidRDefault="00C63EDE" w:rsidP="00970C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F69144" w14:textId="77777777" w:rsidR="0017725B" w:rsidRDefault="0017725B" w:rsidP="00970CD0">
            <w:pPr>
              <w:rPr>
                <w:b/>
                <w:u w:val="single"/>
              </w:rPr>
            </w:pPr>
          </w:p>
          <w:p w14:paraId="50284B8F" w14:textId="34E78E95" w:rsidR="005A39D5" w:rsidRPr="005A39D5" w:rsidRDefault="00C63EDE" w:rsidP="00970CD0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14:paraId="62280F94" w14:textId="77777777" w:rsidR="0017725B" w:rsidRPr="0017725B" w:rsidRDefault="0017725B" w:rsidP="00970CD0">
            <w:pPr>
              <w:rPr>
                <w:b/>
                <w:u w:val="single"/>
              </w:rPr>
            </w:pPr>
          </w:p>
        </w:tc>
      </w:tr>
      <w:tr w:rsidR="009A57C4" w14:paraId="0909CA91" w14:textId="77777777" w:rsidTr="00345119">
        <w:tc>
          <w:tcPr>
            <w:tcW w:w="9576" w:type="dxa"/>
          </w:tcPr>
          <w:p w14:paraId="019C04E5" w14:textId="77777777" w:rsidR="008423E4" w:rsidRPr="00A8133F" w:rsidRDefault="00C63EDE" w:rsidP="00970C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747E5C" w14:textId="77777777" w:rsidR="008423E4" w:rsidRDefault="008423E4" w:rsidP="00970CD0"/>
          <w:p w14:paraId="7B551609" w14:textId="0A3B6171" w:rsidR="005A39D5" w:rsidRDefault="00C63EDE" w:rsidP="00970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14:paraId="2ADA054B" w14:textId="77777777" w:rsidR="008423E4" w:rsidRPr="00E21FDC" w:rsidRDefault="008423E4" w:rsidP="00970CD0">
            <w:pPr>
              <w:rPr>
                <w:b/>
              </w:rPr>
            </w:pPr>
          </w:p>
        </w:tc>
      </w:tr>
      <w:tr w:rsidR="009A57C4" w14:paraId="6989004F" w14:textId="77777777" w:rsidTr="00345119">
        <w:tc>
          <w:tcPr>
            <w:tcW w:w="9576" w:type="dxa"/>
          </w:tcPr>
          <w:p w14:paraId="57ACD89E" w14:textId="77777777" w:rsidR="008423E4" w:rsidRPr="00A8133F" w:rsidRDefault="00C63EDE" w:rsidP="00970C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FF0B3A" w14:textId="77777777" w:rsidR="008423E4" w:rsidRDefault="008423E4" w:rsidP="00970CD0"/>
          <w:p w14:paraId="7F5E8423" w14:textId="0FEC2DD1" w:rsidR="009C36CD" w:rsidRDefault="00C63EDE" w:rsidP="00970CD0">
            <w:pPr>
              <w:pStyle w:val="Header"/>
              <w:jc w:val="both"/>
            </w:pPr>
            <w:r>
              <w:t xml:space="preserve">S.B. 1404 creates the coal-to-nuclear </w:t>
            </w:r>
            <w:r w:rsidR="00DF1BB9">
              <w:t xml:space="preserve">conversion </w:t>
            </w:r>
            <w:r>
              <w:t>work group to study</w:t>
            </w:r>
            <w:r>
              <w:t xml:space="preserve"> the benefits of converting sites in Texas with coal-fired electric generating facilities to use nuclear electric generating facilities instead and to develop a model plan for implementing coal-to-nuclear conversion to provide affordable and sustainable po</w:t>
            </w:r>
            <w:r>
              <w:t>wer in Texas. The work group is composed of the following 16 members:</w:t>
            </w:r>
          </w:p>
          <w:p w14:paraId="3A5EC1E1" w14:textId="77777777" w:rsidR="00A11274" w:rsidRDefault="00C63EDE" w:rsidP="00970C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one member of the senate appointed by the lieutenant governor;</w:t>
            </w:r>
          </w:p>
          <w:p w14:paraId="2B4E22C2" w14:textId="461F925D" w:rsidR="00A11274" w:rsidRDefault="00C63EDE" w:rsidP="00970C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one member of the house of representatives appointed by the speaker of the house of representatives;</w:t>
            </w:r>
          </w:p>
          <w:p w14:paraId="401BFF9B" w14:textId="20ECD609" w:rsidR="00A11274" w:rsidRDefault="00C63EDE" w:rsidP="00970C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two members representi</w:t>
            </w:r>
            <w:r>
              <w:t>ng institutions of higher education appointed by the governor;</w:t>
            </w:r>
          </w:p>
          <w:p w14:paraId="14E83888" w14:textId="7789009E" w:rsidR="00A11274" w:rsidRDefault="00C63EDE" w:rsidP="00970C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one ex officio member representing the Public Utility Commission of Texas appointed by the governor;</w:t>
            </w:r>
          </w:p>
          <w:p w14:paraId="031BE8AC" w14:textId="24508138" w:rsidR="00A11274" w:rsidRDefault="00C63EDE" w:rsidP="00970C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one ex officio member representing ERCOT appointed by the governor; and</w:t>
            </w:r>
          </w:p>
          <w:p w14:paraId="2BFBE7A1" w14:textId="33DD8E5E" w:rsidR="00A11274" w:rsidRDefault="00C63EDE" w:rsidP="00970C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10 members of the pu</w:t>
            </w:r>
            <w:r>
              <w:t>blic who have knowledge and experience in nuclear engineering, nuclear safety, energy policy, or economic analysis, with five members each appointed by the speaker and the lieutenant governor.</w:t>
            </w:r>
          </w:p>
          <w:p w14:paraId="55AB7786" w14:textId="32404A08" w:rsidR="00A11274" w:rsidRDefault="00C63EDE" w:rsidP="00970CD0">
            <w:pPr>
              <w:pStyle w:val="Header"/>
              <w:jc w:val="both"/>
            </w:pPr>
            <w:r>
              <w:t>The bill requires the appointments to be made</w:t>
            </w:r>
            <w:r w:rsidR="002F19D5">
              <w:t xml:space="preserve"> as soon as practicable, but</w:t>
            </w:r>
            <w:r w:rsidRPr="005A39D5">
              <w:t xml:space="preserve"> not later than October</w:t>
            </w:r>
            <w:r w:rsidR="00AD61BA">
              <w:t> </w:t>
            </w:r>
            <w:r w:rsidRPr="005A39D5">
              <w:t>1, 2023.</w:t>
            </w:r>
          </w:p>
          <w:p w14:paraId="5C1B9BE6" w14:textId="77777777" w:rsidR="005A39D5" w:rsidRDefault="005A39D5" w:rsidP="00970CD0">
            <w:pPr>
              <w:pStyle w:val="Header"/>
              <w:jc w:val="both"/>
            </w:pPr>
          </w:p>
          <w:p w14:paraId="0119B4A0" w14:textId="0A1ED69B" w:rsidR="00A11274" w:rsidRDefault="00C63EDE" w:rsidP="00970CD0">
            <w:pPr>
              <w:pStyle w:val="Header"/>
              <w:jc w:val="both"/>
            </w:pPr>
            <w:r>
              <w:t>S.B. 1404 provides the following with respect to the administration and operation of the work group:</w:t>
            </w:r>
          </w:p>
          <w:p w14:paraId="4EF9FD02" w14:textId="5342F466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governor must designate the members of the work group appointed from the legislature to serve as chair and </w:t>
            </w:r>
            <w:r>
              <w:t>vice chair of the work group;</w:t>
            </w:r>
          </w:p>
          <w:p w14:paraId="377B80E6" w14:textId="6764D9EA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work group must meet at the call of its chair</w:t>
            </w:r>
            <w:r w:rsidR="005A39D5">
              <w:t xml:space="preserve"> and the work group must </w:t>
            </w:r>
            <w:r w:rsidR="00535416">
              <w:t xml:space="preserve">hold </w:t>
            </w:r>
            <w:r w:rsidR="005A39D5">
              <w:t>its initial meeting not later than November 1, 2023;</w:t>
            </w:r>
          </w:p>
          <w:p w14:paraId="75881A9D" w14:textId="70261A36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work group may form committees for the efficient operation of the work group, at the discr</w:t>
            </w:r>
            <w:r>
              <w:t>etion of the chair of the work group, and a committee may consult with subject matter experts;</w:t>
            </w:r>
          </w:p>
          <w:p w14:paraId="40620F00" w14:textId="5E3340F6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chair of the work group must appoint the presiding officer of each committee and the presiding officer of a committee may invite other members of the work gr</w:t>
            </w:r>
            <w:r>
              <w:t>oup to serve on the committee</w:t>
            </w:r>
            <w:r w:rsidR="005A39D5">
              <w:t>;</w:t>
            </w:r>
          </w:p>
          <w:p w14:paraId="7897B75D" w14:textId="5516442A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work group may adopt rules, procedures, and policies as necessary or convenient to administer </w:t>
            </w:r>
            <w:r w:rsidR="005A39D5">
              <w:t>the bill's provisions</w:t>
            </w:r>
            <w:r>
              <w:t xml:space="preserve"> and fulfill </w:t>
            </w:r>
            <w:r w:rsidR="005A39D5">
              <w:t>its</w:t>
            </w:r>
            <w:r>
              <w:t xml:space="preserve"> responsibilities</w:t>
            </w:r>
            <w:r w:rsidR="005A39D5">
              <w:t>;</w:t>
            </w:r>
          </w:p>
          <w:p w14:paraId="2B5F184D" w14:textId="29176DA7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member of the work group may not receive compensation for serving on </w:t>
            </w:r>
            <w:r>
              <w:t>the work group but is entitled to reimbursement for expenses incurred by the member in the performance of official duties as a member of the work group as provided by the General Appropriations Act; and</w:t>
            </w:r>
          </w:p>
          <w:p w14:paraId="31D7138D" w14:textId="701D8156" w:rsidR="00A11274" w:rsidRDefault="00C63EDE" w:rsidP="00970C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senate and the house of representatives must prov</w:t>
            </w:r>
            <w:r>
              <w:t>ide administrative support to the work group as necessary to implement the bill's provisions.</w:t>
            </w:r>
          </w:p>
          <w:p w14:paraId="36F7A852" w14:textId="560110CE" w:rsidR="005A39D5" w:rsidRDefault="005A39D5" w:rsidP="00970CD0">
            <w:pPr>
              <w:pStyle w:val="Header"/>
              <w:jc w:val="both"/>
            </w:pPr>
          </w:p>
          <w:p w14:paraId="01EE7F77" w14:textId="465D1C53" w:rsidR="005A39D5" w:rsidRDefault="00C63EDE" w:rsidP="00970CD0">
            <w:pPr>
              <w:pStyle w:val="Header"/>
              <w:jc w:val="both"/>
            </w:pPr>
            <w:r>
              <w:t>S.B. 1404 requires the work group to take the following actions in developing the model plan:</w:t>
            </w:r>
          </w:p>
          <w:p w14:paraId="41F4E979" w14:textId="77777777" w:rsidR="005A39D5" w:rsidRDefault="00C63EDE" w:rsidP="00970CD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conduct a comprehensive review of research and information on coal-</w:t>
            </w:r>
            <w:r>
              <w:t>to-nuclear conversion and related issues;</w:t>
            </w:r>
          </w:p>
          <w:p w14:paraId="015A28A0" w14:textId="39C2CCC0" w:rsidR="005A39D5" w:rsidRDefault="00C63EDE" w:rsidP="00970CD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engage in stakeholder outreach to gather feedback and input from the public, industry, state agencies, and relevant organizations;</w:t>
            </w:r>
          </w:p>
          <w:p w14:paraId="62EE8A2A" w14:textId="1402C5FE" w:rsidR="005A39D5" w:rsidRDefault="00C63EDE" w:rsidP="00970CD0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identify the potential benefits of coal-to-nuclear conversion, including </w:t>
            </w:r>
            <w:r>
              <w:t>cost-effectiveness, energy security, and reduced environmental impact;</w:t>
            </w:r>
          </w:p>
          <w:p w14:paraId="0B75304E" w14:textId="3034AC32" w:rsidR="005A39D5" w:rsidRDefault="00C63EDE" w:rsidP="00970CD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assess the economic viability of coal-to-nuclear conversion and provide recommendations on financing and cost-effectiveness; and</w:t>
            </w:r>
          </w:p>
          <w:p w14:paraId="64972AF5" w14:textId="655F891D" w:rsidR="005A39D5" w:rsidRDefault="00C63EDE" w:rsidP="00970CD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consider the regulatory framework and requirements for c</w:t>
            </w:r>
            <w:r>
              <w:t>oal-to-nuclear conversion and provide recommendations for streamlining the conversion process.</w:t>
            </w:r>
          </w:p>
          <w:p w14:paraId="7D14705E" w14:textId="567D6396" w:rsidR="005A39D5" w:rsidRDefault="00C63EDE" w:rsidP="00970CD0">
            <w:pPr>
              <w:pStyle w:val="Header"/>
              <w:jc w:val="both"/>
            </w:pPr>
            <w:r>
              <w:t>Not later than October 31, 2024, the work group must submit to each standing committee of the senate and house of representatives with oversight jurisdiction ove</w:t>
            </w:r>
            <w:r>
              <w:t>r environmental concerns or electric utilities a report that includes the model plan and any findings or recommendations made by a committee formed by the work group.</w:t>
            </w:r>
          </w:p>
          <w:p w14:paraId="23625154" w14:textId="0DD6C335" w:rsidR="005A39D5" w:rsidRDefault="005A39D5" w:rsidP="00970CD0">
            <w:pPr>
              <w:pStyle w:val="Header"/>
              <w:jc w:val="both"/>
            </w:pPr>
          </w:p>
          <w:p w14:paraId="030B8ADF" w14:textId="0DAA5757" w:rsidR="005A39D5" w:rsidRPr="009C36CD" w:rsidRDefault="00C63EDE" w:rsidP="00970CD0">
            <w:pPr>
              <w:pStyle w:val="Header"/>
              <w:jc w:val="both"/>
            </w:pPr>
            <w:r>
              <w:t>The bill's provisions expire and the work group is abolished June 30, 2025.</w:t>
            </w:r>
          </w:p>
          <w:p w14:paraId="68002B46" w14:textId="77777777" w:rsidR="008423E4" w:rsidRPr="00835628" w:rsidRDefault="008423E4" w:rsidP="00970CD0">
            <w:pPr>
              <w:rPr>
                <w:b/>
              </w:rPr>
            </w:pPr>
          </w:p>
        </w:tc>
      </w:tr>
      <w:tr w:rsidR="009A57C4" w14:paraId="736FA458" w14:textId="77777777" w:rsidTr="00345119">
        <w:tc>
          <w:tcPr>
            <w:tcW w:w="9576" w:type="dxa"/>
          </w:tcPr>
          <w:p w14:paraId="47DDB569" w14:textId="77777777" w:rsidR="008423E4" w:rsidRPr="00A8133F" w:rsidRDefault="00C63EDE" w:rsidP="00970C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854767" w14:textId="77777777" w:rsidR="008423E4" w:rsidRDefault="008423E4" w:rsidP="00970CD0"/>
          <w:p w14:paraId="5710EE1E" w14:textId="3255B79B" w:rsidR="008423E4" w:rsidRPr="003624F2" w:rsidRDefault="00C63EDE" w:rsidP="00970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F8BDB7A" w14:textId="77777777" w:rsidR="008423E4" w:rsidRPr="00233FDB" w:rsidRDefault="008423E4" w:rsidP="00970CD0">
            <w:pPr>
              <w:rPr>
                <w:b/>
              </w:rPr>
            </w:pPr>
          </w:p>
        </w:tc>
      </w:tr>
    </w:tbl>
    <w:p w14:paraId="1D00B9AF" w14:textId="77777777" w:rsidR="008423E4" w:rsidRPr="00BE0E75" w:rsidRDefault="008423E4" w:rsidP="00970CD0">
      <w:pPr>
        <w:jc w:val="both"/>
        <w:rPr>
          <w:rFonts w:ascii="Arial" w:hAnsi="Arial"/>
          <w:sz w:val="16"/>
          <w:szCs w:val="16"/>
        </w:rPr>
      </w:pPr>
    </w:p>
    <w:p w14:paraId="3FE02FD6" w14:textId="77777777" w:rsidR="004108C3" w:rsidRPr="008423E4" w:rsidRDefault="004108C3" w:rsidP="00970CD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C944" w14:textId="77777777" w:rsidR="00000000" w:rsidRDefault="00C63EDE">
      <w:r>
        <w:separator/>
      </w:r>
    </w:p>
  </w:endnote>
  <w:endnote w:type="continuationSeparator" w:id="0">
    <w:p w14:paraId="6192FCC1" w14:textId="77777777" w:rsidR="00000000" w:rsidRDefault="00C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172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57C4" w14:paraId="53364635" w14:textId="77777777" w:rsidTr="009C1E9A">
      <w:trPr>
        <w:cantSplit/>
      </w:trPr>
      <w:tc>
        <w:tcPr>
          <w:tcW w:w="0" w:type="pct"/>
        </w:tcPr>
        <w:p w14:paraId="3256B8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E72D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BE792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3A0B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DC15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57C4" w14:paraId="132C371A" w14:textId="77777777" w:rsidTr="009C1E9A">
      <w:trPr>
        <w:cantSplit/>
      </w:trPr>
      <w:tc>
        <w:tcPr>
          <w:tcW w:w="0" w:type="pct"/>
        </w:tcPr>
        <w:p w14:paraId="64304A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97A209" w14:textId="19DAAC82" w:rsidR="00EC379B" w:rsidRPr="009C1E9A" w:rsidRDefault="00C63E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31936-D</w:t>
          </w:r>
        </w:p>
      </w:tc>
      <w:tc>
        <w:tcPr>
          <w:tcW w:w="2453" w:type="pct"/>
        </w:tcPr>
        <w:p w14:paraId="732FFDE5" w14:textId="5ED7B166" w:rsidR="00EC379B" w:rsidRDefault="00C63E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0CD0">
            <w:t>23.140.596</w:t>
          </w:r>
          <w:r>
            <w:fldChar w:fldCharType="end"/>
          </w:r>
        </w:p>
      </w:tc>
    </w:tr>
    <w:tr w:rsidR="009A57C4" w14:paraId="02E38800" w14:textId="77777777" w:rsidTr="009C1E9A">
      <w:trPr>
        <w:cantSplit/>
      </w:trPr>
      <w:tc>
        <w:tcPr>
          <w:tcW w:w="0" w:type="pct"/>
        </w:tcPr>
        <w:p w14:paraId="224A8C2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EEA3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10E88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B5EA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57C4" w14:paraId="7155FA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DE50837" w14:textId="77777777" w:rsidR="00EC379B" w:rsidRDefault="00C63E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792A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8209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7D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324A" w14:textId="77777777" w:rsidR="00000000" w:rsidRDefault="00C63EDE">
      <w:r>
        <w:separator/>
      </w:r>
    </w:p>
  </w:footnote>
  <w:footnote w:type="continuationSeparator" w:id="0">
    <w:p w14:paraId="2A63AA65" w14:textId="77777777" w:rsidR="00000000" w:rsidRDefault="00C6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924C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AD6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BFFC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F1B8F"/>
    <w:multiLevelType w:val="hybridMultilevel"/>
    <w:tmpl w:val="F2EC00BC"/>
    <w:lvl w:ilvl="0" w:tplc="E05E2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C2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07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E9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2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C1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02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F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6517C"/>
    <w:multiLevelType w:val="hybridMultilevel"/>
    <w:tmpl w:val="AE86B5C8"/>
    <w:lvl w:ilvl="0" w:tplc="3566D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6E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EA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4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9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C2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1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46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61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233F"/>
    <w:multiLevelType w:val="hybridMultilevel"/>
    <w:tmpl w:val="BA782B9A"/>
    <w:lvl w:ilvl="0" w:tplc="260C0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A0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0F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AD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2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0B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A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40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2114">
    <w:abstractNumId w:val="1"/>
  </w:num>
  <w:num w:numId="2" w16cid:durableId="982466739">
    <w:abstractNumId w:val="2"/>
  </w:num>
  <w:num w:numId="3" w16cid:durableId="183980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7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9D5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B3F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192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416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9B9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9D5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979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45B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788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CD0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7C4"/>
    <w:rsid w:val="009A5EA5"/>
    <w:rsid w:val="009B00C2"/>
    <w:rsid w:val="009B26AB"/>
    <w:rsid w:val="009B2812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1274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1BA"/>
    <w:rsid w:val="00AD7780"/>
    <w:rsid w:val="00AE2263"/>
    <w:rsid w:val="00AE248E"/>
    <w:rsid w:val="00AE2D12"/>
    <w:rsid w:val="00AE2F06"/>
    <w:rsid w:val="00AE4F1C"/>
    <w:rsid w:val="00AE5B11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D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ED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81D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1BB9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1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1EA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C1C96-F44A-4CA6-968E-4ADE5071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3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9D5"/>
    <w:rPr>
      <w:b/>
      <w:bCs/>
    </w:rPr>
  </w:style>
  <w:style w:type="paragraph" w:styleId="Revision">
    <w:name w:val="Revision"/>
    <w:hidden/>
    <w:uiPriority w:val="99"/>
    <w:semiHidden/>
    <w:rsid w:val="002F1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4141</Characters>
  <Application>Microsoft Office Word</Application>
  <DocSecurity>4</DocSecurity>
  <Lines>96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SB01404 (Committee Report (Unamended))</vt:lpstr>
    </vt:vector>
  </TitlesOfParts>
  <Company>State of Texas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31936</dc:subject>
  <dc:creator>State of Texas</dc:creator>
  <dc:description>SB 1404 by Parker-(H)State Affairs</dc:description>
  <cp:lastModifiedBy>Damian Duarte</cp:lastModifiedBy>
  <cp:revision>2</cp:revision>
  <cp:lastPrinted>2003-11-26T17:21:00Z</cp:lastPrinted>
  <dcterms:created xsi:type="dcterms:W3CDTF">2023-05-20T22:06:00Z</dcterms:created>
  <dcterms:modified xsi:type="dcterms:W3CDTF">2023-05-20T22:06:00Z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23.140.596</vt:lpwstr>
  </property>
</Properties>
</file>