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30FAF" w14:paraId="4D8DDA3B" w14:textId="77777777" w:rsidTr="00345119">
        <w:tc>
          <w:tcPr>
            <w:tcW w:w="9576" w:type="dxa"/>
            <w:noWrap/>
          </w:tcPr>
          <w:p w14:paraId="3531AB85" w14:textId="77777777" w:rsidR="008423E4" w:rsidRPr="0022177D" w:rsidRDefault="001E001F" w:rsidP="00455BFC">
            <w:pPr>
              <w:pStyle w:val="Heading1"/>
            </w:pPr>
            <w:r w:rsidRPr="00631897">
              <w:t>BILL ANALYSIS</w:t>
            </w:r>
          </w:p>
        </w:tc>
      </w:tr>
    </w:tbl>
    <w:p w14:paraId="55F9E183" w14:textId="77777777" w:rsidR="008423E4" w:rsidRPr="0022177D" w:rsidRDefault="008423E4" w:rsidP="00455BFC">
      <w:pPr>
        <w:jc w:val="center"/>
      </w:pPr>
    </w:p>
    <w:p w14:paraId="6E4D391A" w14:textId="77777777" w:rsidR="008423E4" w:rsidRPr="00B31F0E" w:rsidRDefault="008423E4" w:rsidP="00455BFC"/>
    <w:p w14:paraId="23948479" w14:textId="77777777" w:rsidR="008423E4" w:rsidRPr="00742794" w:rsidRDefault="008423E4" w:rsidP="00455BF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30FAF" w14:paraId="1A20F772" w14:textId="77777777" w:rsidTr="00345119">
        <w:tc>
          <w:tcPr>
            <w:tcW w:w="9576" w:type="dxa"/>
          </w:tcPr>
          <w:p w14:paraId="13AACA56" w14:textId="77777777" w:rsidR="008423E4" w:rsidRPr="00861995" w:rsidRDefault="001E001F" w:rsidP="00455BFC">
            <w:pPr>
              <w:jc w:val="right"/>
            </w:pPr>
            <w:r>
              <w:t>C.S.S.B. 1414</w:t>
            </w:r>
          </w:p>
        </w:tc>
      </w:tr>
      <w:tr w:rsidR="00B30FAF" w14:paraId="07F2A534" w14:textId="77777777" w:rsidTr="00345119">
        <w:tc>
          <w:tcPr>
            <w:tcW w:w="9576" w:type="dxa"/>
          </w:tcPr>
          <w:p w14:paraId="7DC19EB6" w14:textId="77777777" w:rsidR="008423E4" w:rsidRPr="00861995" w:rsidRDefault="001E001F" w:rsidP="00455BFC">
            <w:pPr>
              <w:jc w:val="right"/>
            </w:pPr>
            <w:r>
              <w:t xml:space="preserve">By: </w:t>
            </w:r>
            <w:r w:rsidR="00104796">
              <w:t>Johnson</w:t>
            </w:r>
          </w:p>
        </w:tc>
      </w:tr>
      <w:tr w:rsidR="00B30FAF" w14:paraId="7BA317A4" w14:textId="77777777" w:rsidTr="00345119">
        <w:tc>
          <w:tcPr>
            <w:tcW w:w="9576" w:type="dxa"/>
          </w:tcPr>
          <w:p w14:paraId="02B883C0" w14:textId="77777777" w:rsidR="008423E4" w:rsidRPr="00861995" w:rsidRDefault="001E001F" w:rsidP="00455BFC">
            <w:pPr>
              <w:jc w:val="right"/>
            </w:pPr>
            <w:r>
              <w:t>Agriculture &amp; Livestock</w:t>
            </w:r>
          </w:p>
        </w:tc>
      </w:tr>
      <w:tr w:rsidR="00B30FAF" w14:paraId="2E582698" w14:textId="77777777" w:rsidTr="00345119">
        <w:tc>
          <w:tcPr>
            <w:tcW w:w="9576" w:type="dxa"/>
          </w:tcPr>
          <w:p w14:paraId="3ACEE5F1" w14:textId="77777777" w:rsidR="008423E4" w:rsidRDefault="001E001F" w:rsidP="00455BFC">
            <w:pPr>
              <w:jc w:val="right"/>
            </w:pPr>
            <w:r>
              <w:t>Committee Report (Substituted)</w:t>
            </w:r>
          </w:p>
        </w:tc>
      </w:tr>
    </w:tbl>
    <w:p w14:paraId="06CD591C" w14:textId="77777777" w:rsidR="008423E4" w:rsidRDefault="008423E4" w:rsidP="00455BFC">
      <w:pPr>
        <w:tabs>
          <w:tab w:val="right" w:pos="9360"/>
        </w:tabs>
      </w:pPr>
    </w:p>
    <w:p w14:paraId="0EE02A04" w14:textId="77777777" w:rsidR="008423E4" w:rsidRDefault="008423E4" w:rsidP="00455BFC"/>
    <w:p w14:paraId="48B8A0B0" w14:textId="77777777" w:rsidR="008423E4" w:rsidRDefault="008423E4" w:rsidP="00455BF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30FAF" w14:paraId="302BD419" w14:textId="77777777" w:rsidTr="00345119">
        <w:tc>
          <w:tcPr>
            <w:tcW w:w="9576" w:type="dxa"/>
          </w:tcPr>
          <w:p w14:paraId="6DF9537B" w14:textId="77777777" w:rsidR="008423E4" w:rsidRPr="00A8133F" w:rsidRDefault="001E001F" w:rsidP="00455BF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10483D5" w14:textId="77777777" w:rsidR="008423E4" w:rsidRDefault="008423E4" w:rsidP="00455BFC"/>
          <w:p w14:paraId="75423673" w14:textId="22B05EBF" w:rsidR="008423E4" w:rsidRDefault="001E001F" w:rsidP="00455B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E1854">
              <w:t xml:space="preserve">The State Board of Veterinary Medical Examiners </w:t>
            </w:r>
            <w:r>
              <w:t xml:space="preserve">(TBVME) </w:t>
            </w:r>
            <w:r w:rsidRPr="002E1854">
              <w:t xml:space="preserve">has undergone three </w:t>
            </w:r>
            <w:r>
              <w:t>s</w:t>
            </w:r>
            <w:r w:rsidRPr="002E1854">
              <w:t xml:space="preserve">unset reviews over the last six years. These reviews have repeatedly documented significant data collection, reliability, and analysis issues and poor enforcement procedures that have plagued the </w:t>
            </w:r>
            <w:r>
              <w:t>TBVME</w:t>
            </w:r>
            <w:r w:rsidRPr="002E1854">
              <w:t>. In November 2022, a special</w:t>
            </w:r>
            <w:r>
              <w:t xml:space="preserve"> </w:t>
            </w:r>
            <w:r w:rsidRPr="002E1854">
              <w:t xml:space="preserve">purpose </w:t>
            </w:r>
            <w:r>
              <w:t>s</w:t>
            </w:r>
            <w:r w:rsidRPr="002E1854">
              <w:t>unset review fou</w:t>
            </w:r>
            <w:r w:rsidRPr="002E1854">
              <w:t xml:space="preserve">nd the </w:t>
            </w:r>
            <w:r>
              <w:t xml:space="preserve">TBVME </w:t>
            </w:r>
            <w:r w:rsidRPr="002E1854">
              <w:t xml:space="preserve">had improperly contracted for a new database it never received and indications </w:t>
            </w:r>
            <w:r w:rsidR="00B055E6">
              <w:t xml:space="preserve">that </w:t>
            </w:r>
            <w:r w:rsidRPr="002E1854">
              <w:t xml:space="preserve">the </w:t>
            </w:r>
            <w:r>
              <w:t xml:space="preserve">TBVME </w:t>
            </w:r>
            <w:r w:rsidRPr="002E1854">
              <w:t xml:space="preserve">was continuing to struggle with data collection, tracking, reliability, and analysis. As a result of these and other findings, the Sunset </w:t>
            </w:r>
            <w:r>
              <w:t xml:space="preserve">Advisory </w:t>
            </w:r>
            <w:r w:rsidRPr="002E1854">
              <w:t>Co</w:t>
            </w:r>
            <w:r w:rsidRPr="002E1854">
              <w:t xml:space="preserve">mmission directed staff to identify options to address the systemic issues at the </w:t>
            </w:r>
            <w:r>
              <w:t>TBVME</w:t>
            </w:r>
            <w:r w:rsidRPr="002E1854">
              <w:t xml:space="preserve"> and submit them to the </w:t>
            </w:r>
            <w:r>
              <w:t xml:space="preserve">sunset </w:t>
            </w:r>
            <w:r w:rsidRPr="002E1854">
              <w:t xml:space="preserve">commission. The </w:t>
            </w:r>
            <w:r>
              <w:t>s</w:t>
            </w:r>
            <w:r w:rsidRPr="002E1854">
              <w:t xml:space="preserve">unset </w:t>
            </w:r>
            <w:r>
              <w:t>c</w:t>
            </w:r>
            <w:r w:rsidRPr="002E1854">
              <w:t xml:space="preserve">ommission </w:t>
            </w:r>
            <w:r>
              <w:t xml:space="preserve">has </w:t>
            </w:r>
            <w:r w:rsidRPr="002E1854">
              <w:t>recommend</w:t>
            </w:r>
            <w:r>
              <w:t>ed</w:t>
            </w:r>
            <w:r w:rsidRPr="002E1854">
              <w:t xml:space="preserve"> performing another review </w:t>
            </w:r>
            <w:r>
              <w:t xml:space="preserve">of the TBVME </w:t>
            </w:r>
            <w:r w:rsidRPr="002E1854">
              <w:t>in four years, but in the meantime administrative</w:t>
            </w:r>
            <w:r w:rsidRPr="002E1854">
              <w:t xml:space="preserve">ly attaching the </w:t>
            </w:r>
            <w:r>
              <w:t>TBVME</w:t>
            </w:r>
            <w:r w:rsidRPr="002E1854">
              <w:t xml:space="preserve"> to the Texas Department of Licensing and Regulation (TDLR)</w:t>
            </w:r>
            <w:r>
              <w:t>.</w:t>
            </w:r>
            <w:r w:rsidRPr="002E1854">
              <w:t xml:space="preserve"> </w:t>
            </w:r>
            <w:r>
              <w:t>During this</w:t>
            </w:r>
            <w:r w:rsidRPr="002E1854">
              <w:t xml:space="preserve"> four-year period</w:t>
            </w:r>
            <w:r>
              <w:t>,</w:t>
            </w:r>
            <w:r w:rsidRPr="002E1854">
              <w:t xml:space="preserve"> TDLR would provide the </w:t>
            </w:r>
            <w:r>
              <w:t>TBVME</w:t>
            </w:r>
            <w:r w:rsidRPr="002E1854">
              <w:t xml:space="preserve"> with policy</w:t>
            </w:r>
            <w:r w:rsidR="00301F0E">
              <w:t>-</w:t>
            </w:r>
            <w:r w:rsidRPr="002E1854">
              <w:t>making and administrative oversight, guidance, and support</w:t>
            </w:r>
            <w:r>
              <w:t xml:space="preserve"> and the TBVME</w:t>
            </w:r>
            <w:r w:rsidRPr="002E1854">
              <w:t xml:space="preserve"> would serve as an advisory bo</w:t>
            </w:r>
            <w:r w:rsidRPr="002E1854">
              <w:t xml:space="preserve">ard </w:t>
            </w:r>
            <w:r>
              <w:t>to TDLR.</w:t>
            </w:r>
            <w:r w:rsidRPr="002E1854">
              <w:t xml:space="preserve"> </w:t>
            </w:r>
            <w:r>
              <w:t>A</w:t>
            </w:r>
            <w:r w:rsidRPr="002E1854">
              <w:t xml:space="preserve">t the end of the four-year attachment, the </w:t>
            </w:r>
            <w:r>
              <w:t>TBVME</w:t>
            </w:r>
            <w:r w:rsidRPr="002E1854">
              <w:t xml:space="preserve"> would return to its independent agency status.</w:t>
            </w:r>
            <w:r>
              <w:t xml:space="preserve"> C.S.S.B. 1414 seeks to implement these recommendations.</w:t>
            </w:r>
          </w:p>
          <w:p w14:paraId="082FE333" w14:textId="77777777" w:rsidR="008423E4" w:rsidRPr="00E26B13" w:rsidRDefault="008423E4" w:rsidP="00455BFC">
            <w:pPr>
              <w:rPr>
                <w:b/>
              </w:rPr>
            </w:pPr>
          </w:p>
        </w:tc>
      </w:tr>
      <w:tr w:rsidR="00B30FAF" w14:paraId="50C71A91" w14:textId="77777777" w:rsidTr="00345119">
        <w:tc>
          <w:tcPr>
            <w:tcW w:w="9576" w:type="dxa"/>
          </w:tcPr>
          <w:p w14:paraId="1C74A23E" w14:textId="77777777" w:rsidR="0017725B" w:rsidRDefault="001E001F" w:rsidP="00455B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180F239" w14:textId="77777777" w:rsidR="0017725B" w:rsidRDefault="0017725B" w:rsidP="00455BFC">
            <w:pPr>
              <w:rPr>
                <w:b/>
                <w:u w:val="single"/>
              </w:rPr>
            </w:pPr>
          </w:p>
          <w:p w14:paraId="3C9CAA95" w14:textId="6148E4CD" w:rsidR="004F3E48" w:rsidRPr="004F3E48" w:rsidRDefault="001E001F" w:rsidP="00455BFC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4FBAEA9B" w14:textId="77777777" w:rsidR="0017725B" w:rsidRPr="0017725B" w:rsidRDefault="0017725B" w:rsidP="00455BFC">
            <w:pPr>
              <w:rPr>
                <w:b/>
                <w:u w:val="single"/>
              </w:rPr>
            </w:pPr>
          </w:p>
        </w:tc>
      </w:tr>
      <w:tr w:rsidR="00B30FAF" w14:paraId="3F12559F" w14:textId="77777777" w:rsidTr="00345119">
        <w:tc>
          <w:tcPr>
            <w:tcW w:w="9576" w:type="dxa"/>
          </w:tcPr>
          <w:p w14:paraId="015319DA" w14:textId="77777777" w:rsidR="008423E4" w:rsidRPr="00A8133F" w:rsidRDefault="001E001F" w:rsidP="00455BF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C136642" w14:textId="77777777" w:rsidR="008423E4" w:rsidRDefault="008423E4" w:rsidP="00455BFC"/>
          <w:p w14:paraId="30E9BB0B" w14:textId="493CBB5C" w:rsidR="004F3E48" w:rsidRDefault="001E001F" w:rsidP="00455B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 xml:space="preserve">mittee's opinion that rulemaking authority is expressly granted to the </w:t>
            </w:r>
            <w:r w:rsidRPr="004F3E48">
              <w:t>Texas Commission of Licensing and Regulation</w:t>
            </w:r>
            <w:r>
              <w:t xml:space="preserve"> in </w:t>
            </w:r>
            <w:r w:rsidRPr="004F3E48">
              <w:t>SECTION 2</w:t>
            </w:r>
            <w:r>
              <w:t xml:space="preserve"> of this bill.</w:t>
            </w:r>
          </w:p>
          <w:p w14:paraId="1B985C1C" w14:textId="77777777" w:rsidR="008423E4" w:rsidRPr="00E21FDC" w:rsidRDefault="008423E4" w:rsidP="00455BFC">
            <w:pPr>
              <w:rPr>
                <w:b/>
              </w:rPr>
            </w:pPr>
          </w:p>
        </w:tc>
      </w:tr>
      <w:tr w:rsidR="00B30FAF" w14:paraId="57474DB9" w14:textId="77777777" w:rsidTr="00345119">
        <w:tc>
          <w:tcPr>
            <w:tcW w:w="9576" w:type="dxa"/>
          </w:tcPr>
          <w:p w14:paraId="3D6B781F" w14:textId="77777777" w:rsidR="008423E4" w:rsidRPr="00A8133F" w:rsidRDefault="001E001F" w:rsidP="00455BF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EEC226A" w14:textId="77777777" w:rsidR="008423E4" w:rsidRDefault="008423E4" w:rsidP="00455BFC"/>
          <w:p w14:paraId="07D5C74D" w14:textId="1514C47B" w:rsidR="00140CBC" w:rsidRDefault="001E001F" w:rsidP="00455B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1414 </w:t>
            </w:r>
            <w:r w:rsidRPr="00140CBC">
              <w:t>amends the Occupations Code to move forward the next review of the State Board of Veterinary Medical Examiners (TBVME) under the Texas Sunset Act from the 2028</w:t>
            </w:r>
            <w:r>
              <w:t>-</w:t>
            </w:r>
            <w:r w:rsidRPr="00140CBC">
              <w:t>2029 review cycle to the 2026</w:t>
            </w:r>
            <w:r>
              <w:t>-</w:t>
            </w:r>
            <w:r w:rsidRPr="00140CBC">
              <w:t>2027 review cycle</w:t>
            </w:r>
            <w:r w:rsidR="00BD1858">
              <w:t xml:space="preserve"> and to set out provisions, detailed below,</w:t>
            </w:r>
            <w:r w:rsidR="007929A4">
              <w:t xml:space="preserve"> </w:t>
            </w:r>
            <w:r w:rsidRPr="00140CBC">
              <w:t>provi</w:t>
            </w:r>
            <w:r w:rsidRPr="00140CBC">
              <w:t>d</w:t>
            </w:r>
            <w:r w:rsidR="00BD1858">
              <w:t>ing</w:t>
            </w:r>
            <w:r w:rsidRPr="00140CBC">
              <w:t xml:space="preserve"> for the temporary regulation of the practice of veterinary medicine </w:t>
            </w:r>
            <w:r w:rsidR="005467A1">
              <w:t>by</w:t>
            </w:r>
            <w:r w:rsidRPr="00140CBC">
              <w:t xml:space="preserve"> the Texas Department of Licensing and Regulation (TDLR)</w:t>
            </w:r>
            <w:r w:rsidR="00BD1858">
              <w:t xml:space="preserve"> until September 1, 2027</w:t>
            </w:r>
            <w:r w:rsidR="00593261">
              <w:t>.</w:t>
            </w:r>
          </w:p>
          <w:p w14:paraId="527C0DD9" w14:textId="05A9651D" w:rsidR="00593261" w:rsidRDefault="00593261" w:rsidP="00455B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6A61FDB" w14:textId="67D2CAEA" w:rsidR="00593261" w:rsidRDefault="001E001F" w:rsidP="00455B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1414 requires </w:t>
            </w:r>
            <w:r w:rsidRPr="00593261">
              <w:t>TDLR</w:t>
            </w:r>
            <w:r>
              <w:t xml:space="preserve"> to assume all policy-making powers of </w:t>
            </w:r>
            <w:r w:rsidRPr="00593261">
              <w:t>the TBVME</w:t>
            </w:r>
            <w:r>
              <w:t xml:space="preserve"> and </w:t>
            </w:r>
            <w:r w:rsidR="00877FED">
              <w:t xml:space="preserve">to </w:t>
            </w:r>
            <w:r>
              <w:t xml:space="preserve">administer </w:t>
            </w:r>
            <w:r w:rsidRPr="00593261">
              <w:t xml:space="preserve">the </w:t>
            </w:r>
            <w:r w:rsidRPr="00593261">
              <w:t>Veterinary Licensing Act</w:t>
            </w:r>
            <w:r>
              <w:t xml:space="preserve"> and authorizes </w:t>
            </w:r>
            <w:r w:rsidRPr="00593261">
              <w:t xml:space="preserve">TDLR </w:t>
            </w:r>
            <w:r>
              <w:t xml:space="preserve">to contract as necessary to administer the act. The bill establishes that a power or duty granted to the </w:t>
            </w:r>
            <w:r w:rsidRPr="00593261">
              <w:t>TBVME</w:t>
            </w:r>
            <w:r>
              <w:t xml:space="preserve"> under the act is a power or duty of </w:t>
            </w:r>
            <w:r w:rsidR="00392C92" w:rsidRPr="00392C92">
              <w:t>TDLR</w:t>
            </w:r>
            <w:r w:rsidR="00BD1858">
              <w:t>'s</w:t>
            </w:r>
            <w:r w:rsidR="00392C92" w:rsidRPr="00392C92">
              <w:t xml:space="preserve"> </w:t>
            </w:r>
            <w:r>
              <w:t xml:space="preserve">executive director, </w:t>
            </w:r>
            <w:r w:rsidR="002F17CC" w:rsidRPr="002F17CC">
              <w:t>TDLR</w:t>
            </w:r>
            <w:r>
              <w:t xml:space="preserve">, or the </w:t>
            </w:r>
            <w:r w:rsidR="002F17CC" w:rsidRPr="002F17CC">
              <w:t>Texas Commission of Licensing and Regulation</w:t>
            </w:r>
            <w:r w:rsidR="002F17CC">
              <w:t xml:space="preserve"> </w:t>
            </w:r>
            <w:r w:rsidR="002F17CC" w:rsidRPr="002F17CC">
              <w:t>(TCLR)</w:t>
            </w:r>
            <w:r>
              <w:t>, as applicable.</w:t>
            </w:r>
            <w:r w:rsidR="002F17CC">
              <w:t xml:space="preserve"> The bill authorizes </w:t>
            </w:r>
            <w:r w:rsidR="002F17CC" w:rsidRPr="002F17CC">
              <w:t>TCLR</w:t>
            </w:r>
            <w:r w:rsidR="002F17CC">
              <w:t xml:space="preserve"> </w:t>
            </w:r>
            <w:r>
              <w:t>or</w:t>
            </w:r>
            <w:r w:rsidR="002F17CC">
              <w:t xml:space="preserve"> </w:t>
            </w:r>
            <w:r w:rsidR="002F17CC" w:rsidRPr="002F17CC">
              <w:t>TDLR</w:t>
            </w:r>
            <w:r w:rsidR="00BD1858">
              <w:t>'s</w:t>
            </w:r>
            <w:r>
              <w:t xml:space="preserve"> executive director</w:t>
            </w:r>
            <w:r w:rsidR="002F17CC">
              <w:t xml:space="preserve"> to</w:t>
            </w:r>
            <w:r>
              <w:t xml:space="preserve"> delegate, or withdraw any delegation of, any power or duty under th</w:t>
            </w:r>
            <w:r w:rsidR="002F17CC">
              <w:t>e act</w:t>
            </w:r>
            <w:r>
              <w:t xml:space="preserve"> to the </w:t>
            </w:r>
            <w:r w:rsidR="002F17CC" w:rsidRPr="002F17CC">
              <w:t>TBVME</w:t>
            </w:r>
            <w:r>
              <w:t xml:space="preserve"> or the</w:t>
            </w:r>
            <w:r w:rsidR="002F17CC">
              <w:t xml:space="preserve"> </w:t>
            </w:r>
            <w:r w:rsidR="002F17CC" w:rsidRPr="002F17CC">
              <w:t>TBVME</w:t>
            </w:r>
            <w:r>
              <w:t xml:space="preserve"> executive director. The delegation or </w:t>
            </w:r>
            <w:r>
              <w:t>withdrawal of delegation must be in writing.</w:t>
            </w:r>
          </w:p>
          <w:p w14:paraId="3E20FFDB" w14:textId="27E26797" w:rsidR="00593261" w:rsidRDefault="00593261" w:rsidP="00455BFC">
            <w:pPr>
              <w:pStyle w:val="Header"/>
              <w:jc w:val="both"/>
            </w:pPr>
          </w:p>
          <w:p w14:paraId="553AB454" w14:textId="2881100F" w:rsidR="0033486E" w:rsidRDefault="001E001F" w:rsidP="00455BFC">
            <w:pPr>
              <w:pStyle w:val="Header"/>
              <w:jc w:val="both"/>
            </w:pPr>
            <w:r>
              <w:t xml:space="preserve">C.S.S.B. 1414 requires </w:t>
            </w:r>
            <w:r w:rsidRPr="00266753">
              <w:t>TDLR</w:t>
            </w:r>
            <w:r>
              <w:t>, n</w:t>
            </w:r>
            <w:r w:rsidR="00593261">
              <w:t xml:space="preserve">ot later than December 31, 2026, </w:t>
            </w:r>
            <w:r>
              <w:t>to</w:t>
            </w:r>
            <w:r w:rsidR="00593261">
              <w:t xml:space="preserve"> conduct a</w:t>
            </w:r>
            <w:r>
              <w:t xml:space="preserve"> </w:t>
            </w:r>
            <w:r w:rsidR="00593261">
              <w:t xml:space="preserve">review under </w:t>
            </w:r>
            <w:r w:rsidRPr="00266753">
              <w:t>the Administrative Procedure Act</w:t>
            </w:r>
            <w:r>
              <w:t xml:space="preserve"> </w:t>
            </w:r>
            <w:r w:rsidR="00593261">
              <w:t xml:space="preserve">of each </w:t>
            </w:r>
            <w:r w:rsidRPr="00266753">
              <w:t>TBVME</w:t>
            </w:r>
            <w:r>
              <w:t xml:space="preserve"> </w:t>
            </w:r>
            <w:r w:rsidR="00593261">
              <w:t>rule</w:t>
            </w:r>
            <w:r w:rsidR="00BD1858">
              <w:t xml:space="preserve"> in the Texas Administrative Code</w:t>
            </w:r>
            <w:r w:rsidR="00593261">
              <w:t xml:space="preserve">. </w:t>
            </w:r>
            <w:r>
              <w:t xml:space="preserve">The bill requires </w:t>
            </w:r>
            <w:r w:rsidRPr="00266753">
              <w:t>TDLR</w:t>
            </w:r>
            <w:r>
              <w:t>, i</w:t>
            </w:r>
            <w:r w:rsidR="00593261">
              <w:t xml:space="preserve">n conducting the review, </w:t>
            </w:r>
            <w:r>
              <w:t>to</w:t>
            </w:r>
            <w:r w:rsidR="00593261">
              <w:t xml:space="preserve"> ensure that license holders and the public have a meaningful opportunity to provide input and recommend changes to the rules.</w:t>
            </w:r>
            <w:r>
              <w:t xml:space="preserve"> The bill requires </w:t>
            </w:r>
            <w:r w:rsidRPr="0033486E">
              <w:t>TDLR</w:t>
            </w:r>
            <w:r>
              <w:t xml:space="preserve"> to</w:t>
            </w:r>
            <w:r w:rsidR="00593261" w:rsidRPr="0033486E">
              <w:t xml:space="preserve"> propose </w:t>
            </w:r>
            <w:r w:rsidR="00593261">
              <w:t xml:space="preserve">necessary amendments to a rule, or the repeal of a rule, for which </w:t>
            </w:r>
            <w:r w:rsidRPr="0033486E">
              <w:t>TDLR</w:t>
            </w:r>
            <w:r w:rsidR="00593261">
              <w:t xml:space="preserve"> determines the </w:t>
            </w:r>
            <w:r w:rsidRPr="0033486E">
              <w:t>TBVME</w:t>
            </w:r>
            <w:r w:rsidR="00593261">
              <w:t xml:space="preserve"> lacks a sufficient reason or authority to adopt or enforce.</w:t>
            </w:r>
            <w:r>
              <w:t xml:space="preserve"> The bill authorizes </w:t>
            </w:r>
            <w:r w:rsidRPr="0033486E">
              <w:t>TCLR</w:t>
            </w:r>
            <w:r>
              <w:t xml:space="preserve"> </w:t>
            </w:r>
            <w:r w:rsidR="00593261">
              <w:t xml:space="preserve">or </w:t>
            </w:r>
            <w:r w:rsidRPr="0033486E">
              <w:t>TDLR</w:t>
            </w:r>
            <w:r w:rsidR="00593261">
              <w:t xml:space="preserve">, as applicable, </w:t>
            </w:r>
            <w:r>
              <w:t>to</w:t>
            </w:r>
            <w:r w:rsidR="00593261">
              <w:t xml:space="preserve"> have a </w:t>
            </w:r>
            <w:r w:rsidRPr="0033486E">
              <w:t>TBVME</w:t>
            </w:r>
            <w:r>
              <w:t xml:space="preserve"> </w:t>
            </w:r>
            <w:r w:rsidR="00593261">
              <w:t xml:space="preserve">member who is a veterinarian licensed in good standing in </w:t>
            </w:r>
            <w:r>
              <w:t>Texas</w:t>
            </w:r>
            <w:r w:rsidR="00593261">
              <w:t xml:space="preserve"> serve as </w:t>
            </w:r>
            <w:r>
              <w:t>an</w:t>
            </w:r>
            <w:r w:rsidR="00593261">
              <w:t xml:space="preserve"> expert witness</w:t>
            </w:r>
            <w:r>
              <w:t xml:space="preserve"> f</w:t>
            </w:r>
            <w:r w:rsidRPr="0033486E">
              <w:t>or any rulemaking or con</w:t>
            </w:r>
            <w:r w:rsidRPr="0033486E">
              <w:t>tested case for which an expert witness is necessary</w:t>
            </w:r>
            <w:r>
              <w:t>.</w:t>
            </w:r>
          </w:p>
          <w:p w14:paraId="188302EA" w14:textId="60FB9F06" w:rsidR="0033486E" w:rsidRDefault="0033486E" w:rsidP="00455BFC">
            <w:pPr>
              <w:pStyle w:val="Header"/>
              <w:jc w:val="both"/>
            </w:pPr>
          </w:p>
          <w:p w14:paraId="75AE6740" w14:textId="5B28F888" w:rsidR="00593261" w:rsidRDefault="001E001F" w:rsidP="00455BFC">
            <w:pPr>
              <w:pStyle w:val="Header"/>
              <w:jc w:val="both"/>
            </w:pPr>
            <w:r>
              <w:t xml:space="preserve">C.S.S.B. 1414 requires </w:t>
            </w:r>
            <w:r w:rsidRPr="0033486E">
              <w:t>TDLR</w:t>
            </w:r>
            <w:r w:rsidR="00BD1858">
              <w:t xml:space="preserve">'s </w:t>
            </w:r>
            <w:r>
              <w:t xml:space="preserve">executive director to direct, and authorizes </w:t>
            </w:r>
            <w:r w:rsidRPr="0033486E">
              <w:t>TDLR</w:t>
            </w:r>
            <w:r w:rsidR="00BD1858">
              <w:t>'s</w:t>
            </w:r>
            <w:r w:rsidRPr="0033486E">
              <w:t xml:space="preserve"> executive director</w:t>
            </w:r>
            <w:r>
              <w:t xml:space="preserve"> to dismiss, the </w:t>
            </w:r>
            <w:r w:rsidRPr="0033486E">
              <w:t xml:space="preserve">TBVME </w:t>
            </w:r>
            <w:r>
              <w:t xml:space="preserve">executive director. </w:t>
            </w:r>
            <w:r w:rsidR="00957EC6">
              <w:t xml:space="preserve">The bill requires </w:t>
            </w:r>
            <w:r w:rsidR="00957EC6" w:rsidRPr="00957EC6">
              <w:t>TCLR</w:t>
            </w:r>
            <w:r w:rsidR="00BD1858">
              <w:t>'s</w:t>
            </w:r>
            <w:r>
              <w:t xml:space="preserve"> presiding officer </w:t>
            </w:r>
            <w:r w:rsidR="00957EC6">
              <w:t>to</w:t>
            </w:r>
            <w:r>
              <w:t xml:space="preserve"> appoint a replacement executive director of the </w:t>
            </w:r>
            <w:r w:rsidR="00957EC6" w:rsidRPr="00957EC6">
              <w:t>TBVME</w:t>
            </w:r>
            <w:r>
              <w:t xml:space="preserve"> if necessary.</w:t>
            </w:r>
            <w:r w:rsidR="00957EC6">
              <w:t xml:space="preserve"> The bill establishes that, s</w:t>
            </w:r>
            <w:r>
              <w:t xml:space="preserve">ubject to </w:t>
            </w:r>
            <w:r w:rsidR="00957EC6">
              <w:t>such oversight</w:t>
            </w:r>
            <w:r>
              <w:t>, the</w:t>
            </w:r>
            <w:r w:rsidR="00957EC6">
              <w:t xml:space="preserve"> </w:t>
            </w:r>
            <w:r w:rsidR="00957EC6" w:rsidRPr="00957EC6">
              <w:t>TBVME</w:t>
            </w:r>
            <w:r>
              <w:t xml:space="preserve"> executive director is responsible for the administration of financial services, human resources, and w</w:t>
            </w:r>
            <w:r>
              <w:t xml:space="preserve">orkforce development duties of the </w:t>
            </w:r>
            <w:r w:rsidR="00957EC6" w:rsidRPr="00957EC6">
              <w:t>TBVME</w:t>
            </w:r>
            <w:r>
              <w:t>, including</w:t>
            </w:r>
            <w:r w:rsidR="00957EC6">
              <w:t xml:space="preserve"> the following</w:t>
            </w:r>
            <w:r>
              <w:t>:</w:t>
            </w:r>
          </w:p>
          <w:p w14:paraId="499DBD2A" w14:textId="32AEE3C5" w:rsidR="00593261" w:rsidRDefault="001E001F" w:rsidP="00455BFC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accounts payable and accounts receivable;</w:t>
            </w:r>
          </w:p>
          <w:p w14:paraId="101E61A4" w14:textId="282216ED" w:rsidR="00593261" w:rsidRDefault="001E001F" w:rsidP="00455BFC">
            <w:pPr>
              <w:pStyle w:val="Header"/>
              <w:numPr>
                <w:ilvl w:val="0"/>
                <w:numId w:val="1"/>
              </w:numPr>
              <w:jc w:val="both"/>
            </w:pPr>
            <w:r>
              <w:t>budgeting, inventory, and asset management;</w:t>
            </w:r>
          </w:p>
          <w:p w14:paraId="7583B448" w14:textId="3ED63B45" w:rsidR="00593261" w:rsidRDefault="001E001F" w:rsidP="00455BFC">
            <w:pPr>
              <w:pStyle w:val="Header"/>
              <w:numPr>
                <w:ilvl w:val="0"/>
                <w:numId w:val="1"/>
              </w:numPr>
              <w:jc w:val="both"/>
            </w:pPr>
            <w:r>
              <w:t>payroll;</w:t>
            </w:r>
          </w:p>
          <w:p w14:paraId="42F1003E" w14:textId="3BAC903F" w:rsidR="00593261" w:rsidRDefault="001E001F" w:rsidP="00455BFC">
            <w:pPr>
              <w:pStyle w:val="Header"/>
              <w:numPr>
                <w:ilvl w:val="0"/>
                <w:numId w:val="1"/>
              </w:numPr>
              <w:jc w:val="both"/>
            </w:pPr>
            <w:r>
              <w:t>personnel and labor issues;</w:t>
            </w:r>
          </w:p>
          <w:p w14:paraId="3946637B" w14:textId="662693FB" w:rsidR="00593261" w:rsidRDefault="001E001F" w:rsidP="00455BFC">
            <w:pPr>
              <w:pStyle w:val="Header"/>
              <w:numPr>
                <w:ilvl w:val="0"/>
                <w:numId w:val="1"/>
              </w:numPr>
              <w:jc w:val="both"/>
            </w:pPr>
            <w:r>
              <w:t>purchasing;</w:t>
            </w:r>
          </w:p>
          <w:p w14:paraId="66DC2599" w14:textId="7107EEE1" w:rsidR="00593261" w:rsidRDefault="001E001F" w:rsidP="00455BFC">
            <w:pPr>
              <w:pStyle w:val="Header"/>
              <w:numPr>
                <w:ilvl w:val="0"/>
                <w:numId w:val="1"/>
              </w:numPr>
              <w:jc w:val="both"/>
            </w:pPr>
            <w:r>
              <w:t>recruitment, evaluation, selection, training, and prom</w:t>
            </w:r>
            <w:r>
              <w:t>otion of personnel;</w:t>
            </w:r>
          </w:p>
          <w:p w14:paraId="30D53F19" w14:textId="586420C1" w:rsidR="00593261" w:rsidRDefault="001E001F" w:rsidP="00455BFC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submitting required reports regarding finances, performance measures, strategic planning, legislative appropriations requests, operating budgets, and similar information as required by law;</w:t>
            </w:r>
          </w:p>
          <w:p w14:paraId="2E8DC059" w14:textId="14495F10" w:rsidR="00593261" w:rsidRDefault="001E001F" w:rsidP="00455BFC">
            <w:pPr>
              <w:pStyle w:val="Header"/>
              <w:numPr>
                <w:ilvl w:val="0"/>
                <w:numId w:val="1"/>
              </w:numPr>
              <w:jc w:val="both"/>
            </w:pPr>
            <w:r>
              <w:t>legal support services, including responding t</w:t>
            </w:r>
            <w:r>
              <w:t>o requests for public information; and</w:t>
            </w:r>
          </w:p>
          <w:p w14:paraId="4878340A" w14:textId="5DD09F35" w:rsidR="00593261" w:rsidRDefault="001E001F" w:rsidP="00455BFC">
            <w:pPr>
              <w:pStyle w:val="Header"/>
              <w:numPr>
                <w:ilvl w:val="0"/>
                <w:numId w:val="1"/>
              </w:numPr>
              <w:jc w:val="both"/>
            </w:pPr>
            <w:r>
              <w:t>information technology and support.</w:t>
            </w:r>
          </w:p>
          <w:p w14:paraId="00C06319" w14:textId="1F9F89B1" w:rsidR="00593261" w:rsidRDefault="001E001F" w:rsidP="00455BFC">
            <w:pPr>
              <w:pStyle w:val="Header"/>
              <w:jc w:val="both"/>
            </w:pPr>
            <w:r>
              <w:t xml:space="preserve">If </w:t>
            </w:r>
            <w:r w:rsidR="00957EC6" w:rsidRPr="00957EC6">
              <w:t>TDLR</w:t>
            </w:r>
            <w:r w:rsidR="00957EC6">
              <w:t xml:space="preserve"> </w:t>
            </w:r>
            <w:r>
              <w:t>provides any of th</w:t>
            </w:r>
            <w:r w:rsidR="00957EC6">
              <w:t>es</w:t>
            </w:r>
            <w:r>
              <w:t xml:space="preserve">e functions, the TBVME </w:t>
            </w:r>
            <w:r w:rsidR="00194672">
              <w:t>must</w:t>
            </w:r>
            <w:r>
              <w:t xml:space="preserve"> reimburse </w:t>
            </w:r>
            <w:r w:rsidR="00957EC6" w:rsidRPr="00957EC6">
              <w:t>TDLR</w:t>
            </w:r>
            <w:r w:rsidR="00957EC6">
              <w:t xml:space="preserve"> </w:t>
            </w:r>
            <w:r>
              <w:t>for administrative costs incurred.</w:t>
            </w:r>
          </w:p>
          <w:p w14:paraId="47467C81" w14:textId="534A2B36" w:rsidR="00957EC6" w:rsidRDefault="00957EC6" w:rsidP="00455BFC">
            <w:pPr>
              <w:pStyle w:val="Header"/>
              <w:jc w:val="both"/>
            </w:pPr>
          </w:p>
          <w:p w14:paraId="13EE4128" w14:textId="4482DCB3" w:rsidR="00647985" w:rsidRDefault="001E001F" w:rsidP="00455BFC">
            <w:pPr>
              <w:pStyle w:val="Header"/>
              <w:jc w:val="both"/>
            </w:pPr>
            <w:r>
              <w:t xml:space="preserve">C.S.S.B. 1414 makes </w:t>
            </w:r>
            <w:r w:rsidR="000E6185" w:rsidRPr="000E6185">
              <w:t>the TBVME</w:t>
            </w:r>
            <w:r w:rsidR="000E6185">
              <w:t xml:space="preserve"> </w:t>
            </w:r>
            <w:r w:rsidR="00593261">
              <w:t xml:space="preserve">an advisory board to </w:t>
            </w:r>
            <w:r w:rsidR="000E6185" w:rsidRPr="000E6185">
              <w:t>TDLR</w:t>
            </w:r>
            <w:r>
              <w:t xml:space="preserve"> and</w:t>
            </w:r>
            <w:r w:rsidR="000E6185">
              <w:t xml:space="preserve"> requires </w:t>
            </w:r>
            <w:r w:rsidR="000E6185" w:rsidRPr="000E6185">
              <w:t>the TBVME</w:t>
            </w:r>
            <w:r w:rsidR="000E6185">
              <w:t xml:space="preserve">, </w:t>
            </w:r>
            <w:r w:rsidR="00593261">
              <w:t xml:space="preserve">the equine dental provider advisory committee, and any advisory committee </w:t>
            </w:r>
            <w:r>
              <w:t xml:space="preserve">appointed by the </w:t>
            </w:r>
            <w:r w:rsidRPr="000E6185">
              <w:t xml:space="preserve">TBVME </w:t>
            </w:r>
            <w:r w:rsidR="000E6185">
              <w:t>to</w:t>
            </w:r>
            <w:r w:rsidR="00593261">
              <w:t xml:space="preserve"> provide advice and recommendations to </w:t>
            </w:r>
            <w:r w:rsidR="000E6185" w:rsidRPr="000E6185">
              <w:t xml:space="preserve">TDLR </w:t>
            </w:r>
            <w:r w:rsidR="00593261">
              <w:t xml:space="preserve">on technical matters relevant to the administration of </w:t>
            </w:r>
            <w:r w:rsidR="000E6185" w:rsidRPr="000E6185">
              <w:t>the Veterinary Licensing Act</w:t>
            </w:r>
            <w:r w:rsidR="00593261">
              <w:t>.</w:t>
            </w:r>
            <w:r w:rsidR="000E6185">
              <w:t xml:space="preserve"> </w:t>
            </w:r>
          </w:p>
          <w:p w14:paraId="754E1336" w14:textId="77777777" w:rsidR="00647985" w:rsidRDefault="00647985" w:rsidP="00455BFC">
            <w:pPr>
              <w:pStyle w:val="Header"/>
              <w:jc w:val="both"/>
            </w:pPr>
          </w:p>
          <w:p w14:paraId="0C728095" w14:textId="1C688B33" w:rsidR="00593261" w:rsidRDefault="001E001F" w:rsidP="00455BFC">
            <w:pPr>
              <w:pStyle w:val="Header"/>
              <w:jc w:val="both"/>
            </w:pPr>
            <w:r>
              <w:t>C.S.S.B. 1414</w:t>
            </w:r>
            <w:r w:rsidR="000E6185">
              <w:t xml:space="preserve"> </w:t>
            </w:r>
            <w:r w:rsidR="00237A8C">
              <w:t>requires TCLR to adopt all rules necessary to implement the Veterinary Licensing Act, except with respect to</w:t>
            </w:r>
            <w:r>
              <w:t xml:space="preserve"> rules relating to the scope of practice of</w:t>
            </w:r>
            <w:r w:rsidR="009155D0">
              <w:t>,</w:t>
            </w:r>
            <w:r>
              <w:t xml:space="preserve"> or a health</w:t>
            </w:r>
            <w:r w:rsidR="00161374">
              <w:noBreakHyphen/>
            </w:r>
            <w:r>
              <w:t>related standard of care for</w:t>
            </w:r>
            <w:r w:rsidR="009155D0">
              <w:t>,</w:t>
            </w:r>
            <w:r>
              <w:t xml:space="preserve"> the practice of the profession of veterinary medicine</w:t>
            </w:r>
            <w:r w:rsidR="005D6940">
              <w:t>, which remain the purview of the TBVME</w:t>
            </w:r>
            <w:r>
              <w:t>.</w:t>
            </w:r>
            <w:r w:rsidR="00845BB1">
              <w:t xml:space="preserve"> The bill </w:t>
            </w:r>
            <w:r w:rsidR="00237A8C">
              <w:t xml:space="preserve">requires </w:t>
            </w:r>
            <w:r w:rsidR="00237A8C" w:rsidRPr="000E6185">
              <w:t>the TBVME</w:t>
            </w:r>
            <w:r w:rsidR="00237A8C">
              <w:t xml:space="preserve"> to adopt those rules and </w:t>
            </w:r>
            <w:r w:rsidR="00845BB1">
              <w:t xml:space="preserve">requires </w:t>
            </w:r>
            <w:r w:rsidR="00845BB1" w:rsidRPr="00845BB1">
              <w:t>TCLR</w:t>
            </w:r>
            <w:r w:rsidR="00845BB1">
              <w:t xml:space="preserve"> to</w:t>
            </w:r>
            <w:r>
              <w:t xml:space="preserve"> review each </w:t>
            </w:r>
            <w:r w:rsidR="00237A8C">
              <w:t xml:space="preserve">such </w:t>
            </w:r>
            <w:r>
              <w:t xml:space="preserve">rule </w:t>
            </w:r>
            <w:r w:rsidR="00237A8C">
              <w:t>adopted by the TBVME.</w:t>
            </w:r>
            <w:r>
              <w:t xml:space="preserve"> </w:t>
            </w:r>
            <w:r w:rsidR="00237A8C">
              <w:t>I</w:t>
            </w:r>
            <w:r>
              <w:t xml:space="preserve">f </w:t>
            </w:r>
            <w:r w:rsidR="00845BB1" w:rsidRPr="00845BB1">
              <w:t xml:space="preserve">TCLR </w:t>
            </w:r>
            <w:r>
              <w:t xml:space="preserve">determines that the rule is not authorized by </w:t>
            </w:r>
            <w:r w:rsidR="00845BB1">
              <w:t>the act</w:t>
            </w:r>
            <w:r>
              <w:t xml:space="preserve"> or other law or is an unauthorized anticompetit</w:t>
            </w:r>
            <w:r>
              <w:t xml:space="preserve">ive rule, </w:t>
            </w:r>
            <w:r w:rsidR="00237A8C">
              <w:t xml:space="preserve">TCLR is required </w:t>
            </w:r>
            <w:r>
              <w:t xml:space="preserve">to issue an order stating that determination. </w:t>
            </w:r>
            <w:r w:rsidR="00845BB1">
              <w:t>The bill prohibits a</w:t>
            </w:r>
            <w:r>
              <w:t xml:space="preserve"> rule for which </w:t>
            </w:r>
            <w:r w:rsidR="00845BB1">
              <w:t xml:space="preserve">such </w:t>
            </w:r>
            <w:r>
              <w:t xml:space="preserve">an order is issued </w:t>
            </w:r>
            <w:r w:rsidR="00845BB1">
              <w:t>from</w:t>
            </w:r>
            <w:r>
              <w:t xml:space="preserve"> tak</w:t>
            </w:r>
            <w:r w:rsidR="00845BB1">
              <w:t>ing</w:t>
            </w:r>
            <w:r>
              <w:t xml:space="preserve"> effect or be</w:t>
            </w:r>
            <w:r w:rsidR="00845BB1">
              <w:t>ing</w:t>
            </w:r>
            <w:r>
              <w:t xml:space="preserve"> enforced.</w:t>
            </w:r>
          </w:p>
          <w:p w14:paraId="53F21730" w14:textId="34AB95A4" w:rsidR="00845BB1" w:rsidRDefault="00845BB1" w:rsidP="00455BFC">
            <w:pPr>
              <w:pStyle w:val="Header"/>
              <w:jc w:val="both"/>
            </w:pPr>
          </w:p>
          <w:p w14:paraId="7A481418" w14:textId="2D3A8E2E" w:rsidR="007929A4" w:rsidRDefault="001E001F" w:rsidP="00455BFC">
            <w:pPr>
              <w:pStyle w:val="Header"/>
              <w:jc w:val="both"/>
            </w:pPr>
            <w:r>
              <w:t xml:space="preserve">With respect to </w:t>
            </w:r>
            <w:r w:rsidR="00E64B09">
              <w:t>the Veterinary Licensing Act</w:t>
            </w:r>
            <w:r>
              <w:t xml:space="preserve">, </w:t>
            </w:r>
            <w:r w:rsidR="00845BB1">
              <w:t>C.S.S.B. 1414 establishes</w:t>
            </w:r>
            <w:r>
              <w:t xml:space="preserve"> the following:</w:t>
            </w:r>
            <w:r w:rsidR="00845BB1">
              <w:t xml:space="preserve"> </w:t>
            </w:r>
          </w:p>
          <w:p w14:paraId="79DAC521" w14:textId="7941A572" w:rsidR="00593261" w:rsidRDefault="001E001F" w:rsidP="00455BFC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the </w:t>
            </w:r>
            <w:r w:rsidR="009271B3">
              <w:t>a</w:t>
            </w:r>
            <w:r w:rsidR="007929A4" w:rsidRPr="007929A4">
              <w:t>ct</w:t>
            </w:r>
            <w:r w:rsidR="007929A4">
              <w:t xml:space="preserve"> controls </w:t>
            </w:r>
            <w:r>
              <w:t xml:space="preserve">to the extent of any conflict between </w:t>
            </w:r>
            <w:r w:rsidR="00845BB1" w:rsidRPr="00845BB1">
              <w:t xml:space="preserve">the </w:t>
            </w:r>
            <w:r w:rsidR="007929A4">
              <w:t>a</w:t>
            </w:r>
            <w:r w:rsidR="00845BB1" w:rsidRPr="00845BB1">
              <w:t xml:space="preserve">ct </w:t>
            </w:r>
            <w:r>
              <w:t xml:space="preserve">and </w:t>
            </w:r>
            <w:r w:rsidR="009271B3" w:rsidRPr="009271B3">
              <w:t>TDLR's statutory governing provisions</w:t>
            </w:r>
            <w:r w:rsidR="007929A4">
              <w:t xml:space="preserve">; and </w:t>
            </w:r>
          </w:p>
          <w:p w14:paraId="4685E5C3" w14:textId="24E433EB" w:rsidR="00593261" w:rsidRDefault="001E001F" w:rsidP="00455BFC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the bill's provisions relating to </w:t>
            </w:r>
            <w:r w:rsidRPr="007929A4">
              <w:t>TDLR</w:t>
            </w:r>
            <w:r>
              <w:t xml:space="preserve">'s temporary </w:t>
            </w:r>
            <w:r w:rsidRPr="007929A4">
              <w:t>regulation of the practice of veterinary medicine</w:t>
            </w:r>
            <w:r>
              <w:t xml:space="preserve"> control to the extent of an</w:t>
            </w:r>
            <w:r>
              <w:t>y conflict between those provisions and another provision of the act.</w:t>
            </w:r>
          </w:p>
          <w:p w14:paraId="3B304B43" w14:textId="46C4208E" w:rsidR="007929A4" w:rsidRDefault="007929A4" w:rsidP="00455BFC">
            <w:pPr>
              <w:pStyle w:val="Header"/>
              <w:jc w:val="both"/>
            </w:pPr>
          </w:p>
          <w:p w14:paraId="5B5E2B70" w14:textId="11BD9211" w:rsidR="00B74B32" w:rsidRDefault="001E001F" w:rsidP="00455BFC">
            <w:pPr>
              <w:pStyle w:val="Header"/>
              <w:jc w:val="both"/>
            </w:pPr>
            <w:r>
              <w:t xml:space="preserve">C.S.S.B. 1414 requires </w:t>
            </w:r>
            <w:r w:rsidR="009F2ADD">
              <w:t xml:space="preserve">the </w:t>
            </w:r>
            <w:r w:rsidR="009F2ADD" w:rsidRPr="009F2ADD">
              <w:t>Department of Information Resources</w:t>
            </w:r>
            <w:r w:rsidR="009F2ADD">
              <w:t xml:space="preserve"> </w:t>
            </w:r>
            <w:r w:rsidR="009F2ADD" w:rsidRPr="009F2ADD">
              <w:t>(DIR)</w:t>
            </w:r>
            <w:r w:rsidR="009F2ADD">
              <w:t>, n</w:t>
            </w:r>
            <w:r>
              <w:t>ot later than October</w:t>
            </w:r>
            <w:r w:rsidR="00A96846">
              <w:t> </w:t>
            </w:r>
            <w:r>
              <w:t xml:space="preserve">1, 2023, </w:t>
            </w:r>
            <w:r w:rsidR="009F2ADD">
              <w:t>to</w:t>
            </w:r>
            <w:r>
              <w:t xml:space="preserve"> consult with </w:t>
            </w:r>
            <w:r w:rsidR="009F2ADD" w:rsidRPr="009F2ADD">
              <w:t>TDLR</w:t>
            </w:r>
            <w:r w:rsidR="009F2ADD">
              <w:t xml:space="preserve"> </w:t>
            </w:r>
            <w:r>
              <w:t xml:space="preserve">and the </w:t>
            </w:r>
            <w:r w:rsidR="009F2ADD" w:rsidRPr="009F2ADD">
              <w:t>TBVME</w:t>
            </w:r>
            <w:r>
              <w:t xml:space="preserve"> to assess </w:t>
            </w:r>
            <w:r w:rsidR="00392C92" w:rsidRPr="00392C92">
              <w:t>the TBVME</w:t>
            </w:r>
            <w:r w:rsidR="00392C92">
              <w:t>'s</w:t>
            </w:r>
            <w:r>
              <w:t xml:space="preserve"> database needs</w:t>
            </w:r>
            <w:r w:rsidR="009F2ADD" w:rsidRPr="009F2ADD">
              <w:t xml:space="preserve"> </w:t>
            </w:r>
            <w:r>
              <w:t>and establish a plan for the procurement and acquisition of a database suitable to address those needs.</w:t>
            </w:r>
            <w:r w:rsidR="009F2ADD">
              <w:t xml:space="preserve"> The bill requires the </w:t>
            </w:r>
            <w:r w:rsidR="009F2ADD" w:rsidRPr="009F2ADD">
              <w:t>TBVME</w:t>
            </w:r>
            <w:r w:rsidR="009F2ADD">
              <w:t xml:space="preserve"> to</w:t>
            </w:r>
            <w:r>
              <w:t xml:space="preserve"> provide </w:t>
            </w:r>
            <w:r w:rsidR="009F2ADD" w:rsidRPr="009F2ADD">
              <w:t xml:space="preserve">DIR </w:t>
            </w:r>
            <w:r>
              <w:t xml:space="preserve">and </w:t>
            </w:r>
            <w:r w:rsidR="009F2ADD" w:rsidRPr="009F2ADD">
              <w:t xml:space="preserve">TDLR </w:t>
            </w:r>
            <w:r>
              <w:t>with access to any system, hardware, software, documents, or information necessary to achieve the</w:t>
            </w:r>
            <w:r w:rsidR="009F2ADD">
              <w:t>se</w:t>
            </w:r>
            <w:r>
              <w:t xml:space="preserve"> </w:t>
            </w:r>
            <w:r>
              <w:t xml:space="preserve">purposes </w:t>
            </w:r>
            <w:r w:rsidR="009F2ADD">
              <w:t xml:space="preserve">and establishes that the </w:t>
            </w:r>
            <w:r>
              <w:t xml:space="preserve">provision of information under </w:t>
            </w:r>
            <w:r w:rsidR="009F2ADD">
              <w:t>these provisions of the bill</w:t>
            </w:r>
            <w:r>
              <w:t xml:space="preserve"> to </w:t>
            </w:r>
            <w:r w:rsidR="009F2ADD" w:rsidRPr="009F2ADD">
              <w:t>DIR</w:t>
            </w:r>
            <w:r>
              <w:t xml:space="preserve"> or </w:t>
            </w:r>
            <w:r w:rsidR="009F2ADD" w:rsidRPr="009F2ADD">
              <w:t xml:space="preserve">TDLR </w:t>
            </w:r>
            <w:r>
              <w:t>does not waive confidentiality or privilege.</w:t>
            </w:r>
          </w:p>
          <w:p w14:paraId="26F8E48E" w14:textId="77777777" w:rsidR="007929A4" w:rsidRDefault="007929A4" w:rsidP="00455BFC">
            <w:pPr>
              <w:pStyle w:val="Header"/>
              <w:jc w:val="both"/>
            </w:pPr>
          </w:p>
          <w:p w14:paraId="76F8A850" w14:textId="2E4321A0" w:rsidR="00845BB1" w:rsidRPr="009C36CD" w:rsidRDefault="001E001F" w:rsidP="00455B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</w:t>
            </w:r>
            <w:r w:rsidR="00A96846">
              <w:t>.</w:t>
            </w:r>
            <w:r>
              <w:t xml:space="preserve"> 1414 requires </w:t>
            </w:r>
            <w:r w:rsidRPr="00952EF9">
              <w:t>TDLR</w:t>
            </w:r>
            <w:r>
              <w:t>, n</w:t>
            </w:r>
            <w:r w:rsidRPr="00952EF9">
              <w:t xml:space="preserve">ot later than December 1, 2024, </w:t>
            </w:r>
            <w:r>
              <w:t>to</w:t>
            </w:r>
            <w:r w:rsidRPr="00952EF9">
              <w:t xml:space="preserve"> submit to the Sunset Advisory Commis</w:t>
            </w:r>
            <w:r w:rsidRPr="00952EF9">
              <w:t>sion and each standing committee of the legislature with primary jurisdiction over the TBVME any legislative recommendations necessary to improve the TBVME's operations.</w:t>
            </w:r>
          </w:p>
          <w:p w14:paraId="742F57C6" w14:textId="77777777" w:rsidR="008423E4" w:rsidRPr="00835628" w:rsidRDefault="008423E4" w:rsidP="00455BFC">
            <w:pPr>
              <w:rPr>
                <w:b/>
              </w:rPr>
            </w:pPr>
          </w:p>
        </w:tc>
      </w:tr>
      <w:tr w:rsidR="00B30FAF" w14:paraId="67799E9D" w14:textId="77777777" w:rsidTr="00345119">
        <w:tc>
          <w:tcPr>
            <w:tcW w:w="9576" w:type="dxa"/>
          </w:tcPr>
          <w:p w14:paraId="657DA9B7" w14:textId="77777777" w:rsidR="008423E4" w:rsidRPr="00A8133F" w:rsidRDefault="001E001F" w:rsidP="00455BF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0E4C6D2" w14:textId="77777777" w:rsidR="008423E4" w:rsidRDefault="008423E4" w:rsidP="00455BFC"/>
          <w:p w14:paraId="03AC2B01" w14:textId="188D052E" w:rsidR="008423E4" w:rsidRPr="003624F2" w:rsidRDefault="001E001F" w:rsidP="00455B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7EFA6820" w14:textId="77777777" w:rsidR="008423E4" w:rsidRPr="00233FDB" w:rsidRDefault="008423E4" w:rsidP="00455BFC">
            <w:pPr>
              <w:rPr>
                <w:b/>
              </w:rPr>
            </w:pPr>
          </w:p>
        </w:tc>
      </w:tr>
      <w:tr w:rsidR="00B30FAF" w14:paraId="67FA45D4" w14:textId="77777777" w:rsidTr="00345119">
        <w:tc>
          <w:tcPr>
            <w:tcW w:w="9576" w:type="dxa"/>
          </w:tcPr>
          <w:p w14:paraId="3FC6EB24" w14:textId="77777777" w:rsidR="00104796" w:rsidRDefault="001E001F" w:rsidP="00455BF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SENATE ENGROSSED AND </w:t>
            </w:r>
            <w:r>
              <w:rPr>
                <w:b/>
                <w:u w:val="single"/>
              </w:rPr>
              <w:t>SUBSTITUTE</w:t>
            </w:r>
          </w:p>
          <w:p w14:paraId="3F523493" w14:textId="77777777" w:rsidR="00330677" w:rsidRDefault="00330677" w:rsidP="00455BFC">
            <w:pPr>
              <w:jc w:val="both"/>
            </w:pPr>
          </w:p>
          <w:p w14:paraId="55E066AC" w14:textId="4A2B3FAC" w:rsidR="00330677" w:rsidRDefault="001E001F" w:rsidP="00455BFC">
            <w:pPr>
              <w:jc w:val="both"/>
            </w:pPr>
            <w:r>
              <w:t>While C.S.S.B. 1414 may differ from the engrossed in minor or nonsubstantive ways, the following summarizes the substantial differences between the engrossed and committee substitute versions of the bill.</w:t>
            </w:r>
          </w:p>
          <w:p w14:paraId="78367682" w14:textId="63F05CA4" w:rsidR="00330677" w:rsidRDefault="00330677" w:rsidP="00455BFC">
            <w:pPr>
              <w:jc w:val="both"/>
            </w:pPr>
          </w:p>
          <w:p w14:paraId="171EE8DB" w14:textId="74ADC0EB" w:rsidR="00921574" w:rsidRDefault="001E001F" w:rsidP="00455BFC">
            <w:pPr>
              <w:jc w:val="both"/>
            </w:pPr>
            <w:r>
              <w:t>The substitute differs from the engros</w:t>
            </w:r>
            <w:r>
              <w:t xml:space="preserve">sed with respect to the rulemaking authority of </w:t>
            </w:r>
            <w:r w:rsidR="00C46294" w:rsidRPr="00C46294">
              <w:t>the TBVME</w:t>
            </w:r>
            <w:r w:rsidR="00C46294">
              <w:t xml:space="preserve"> and </w:t>
            </w:r>
            <w:r w:rsidR="00C46294" w:rsidRPr="00C46294">
              <w:t>TCLR</w:t>
            </w:r>
            <w:r w:rsidR="00C46294">
              <w:t xml:space="preserve"> as follows:</w:t>
            </w:r>
          </w:p>
          <w:p w14:paraId="48CEFC98" w14:textId="65AE5E8E" w:rsidR="00C46294" w:rsidRDefault="001E001F" w:rsidP="00455BFC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>the substitute omits provisions present in the engrossed that did the following:</w:t>
            </w:r>
          </w:p>
          <w:p w14:paraId="5A362CF7" w14:textId="08214DBD" w:rsidR="00C46294" w:rsidRDefault="001E001F" w:rsidP="00455BFC">
            <w:pPr>
              <w:pStyle w:val="ListParagraph"/>
              <w:numPr>
                <w:ilvl w:val="1"/>
                <w:numId w:val="4"/>
              </w:numPr>
              <w:contextualSpacing w:val="0"/>
              <w:jc w:val="both"/>
            </w:pPr>
            <w:r>
              <w:t>r</w:t>
            </w:r>
            <w:r w:rsidR="00330677">
              <w:t xml:space="preserve">equired the </w:t>
            </w:r>
            <w:r w:rsidR="00330677" w:rsidRPr="00330677">
              <w:t>TBVME</w:t>
            </w:r>
            <w:r w:rsidR="00330677">
              <w:t xml:space="preserve"> to</w:t>
            </w:r>
            <w:r w:rsidR="00330677" w:rsidRPr="00330677">
              <w:t xml:space="preserve"> propose rules to TCLR</w:t>
            </w:r>
            <w:r w:rsidR="00330677">
              <w:t xml:space="preserve"> </w:t>
            </w:r>
            <w:r w:rsidR="00330677" w:rsidRPr="00330677">
              <w:t>relating to the scope of practice of or a health-related standard of care for the practice of the profession of veterinary medicine</w:t>
            </w:r>
            <w:r w:rsidR="000C0344">
              <w:t xml:space="preserve"> and </w:t>
            </w:r>
            <w:r>
              <w:t xml:space="preserve">prohibited </w:t>
            </w:r>
            <w:r w:rsidRPr="00C46294">
              <w:t>TCLR</w:t>
            </w:r>
            <w:r>
              <w:t xml:space="preserve"> from</w:t>
            </w:r>
            <w:r w:rsidRPr="00C46294">
              <w:t xml:space="preserve"> adopt</w:t>
            </w:r>
            <w:r>
              <w:t>ing</w:t>
            </w:r>
            <w:r w:rsidRPr="00C46294">
              <w:t xml:space="preserve"> a new rule relating to </w:t>
            </w:r>
            <w:r>
              <w:t>such</w:t>
            </w:r>
            <w:r w:rsidRPr="00C46294">
              <w:t xml:space="preserve"> scope </w:t>
            </w:r>
            <w:r w:rsidR="000C0344">
              <w:t xml:space="preserve">of practice or standard of care </w:t>
            </w:r>
            <w:r w:rsidRPr="00C46294">
              <w:t>unless the rule ha</w:t>
            </w:r>
            <w:r w:rsidR="00EE4C4B">
              <w:t>d</w:t>
            </w:r>
            <w:r w:rsidRPr="00C46294">
              <w:t xml:space="preserve"> been proposed by the TBVME</w:t>
            </w:r>
            <w:r>
              <w:t xml:space="preserve">; </w:t>
            </w:r>
          </w:p>
          <w:p w14:paraId="44524D01" w14:textId="4CC41EB6" w:rsidR="00921574" w:rsidRDefault="001E001F" w:rsidP="00455BFC">
            <w:pPr>
              <w:pStyle w:val="ListParagraph"/>
              <w:numPr>
                <w:ilvl w:val="1"/>
                <w:numId w:val="4"/>
              </w:numPr>
              <w:contextualSpacing w:val="0"/>
              <w:jc w:val="both"/>
            </w:pPr>
            <w:r>
              <w:t xml:space="preserve">required </w:t>
            </w:r>
            <w:r w:rsidRPr="00C46294">
              <w:t>TCLR</w:t>
            </w:r>
            <w:r>
              <w:t>, f</w:t>
            </w:r>
            <w:r w:rsidRPr="00C46294">
              <w:t xml:space="preserve">or </w:t>
            </w:r>
            <w:r>
              <w:t xml:space="preserve">such </w:t>
            </w:r>
            <w:r w:rsidRPr="00C46294">
              <w:t>a r</w:t>
            </w:r>
            <w:r w:rsidRPr="00C46294">
              <w:t xml:space="preserve">ule, </w:t>
            </w:r>
            <w:r>
              <w:t>to</w:t>
            </w:r>
            <w:r w:rsidRPr="00C46294">
              <w:t xml:space="preserve"> either adopt the rule as proposed or return the rule to the TBVME for revision</w:t>
            </w:r>
            <w:r w:rsidR="00C6630C">
              <w:t>; and</w:t>
            </w:r>
          </w:p>
          <w:p w14:paraId="2DC0E8CF" w14:textId="263FE3B5" w:rsidR="00C46294" w:rsidRDefault="001E001F" w:rsidP="00455BFC">
            <w:pPr>
              <w:pStyle w:val="ListParagraph"/>
              <w:numPr>
                <w:ilvl w:val="1"/>
                <w:numId w:val="4"/>
              </w:numPr>
              <w:contextualSpacing w:val="0"/>
              <w:jc w:val="both"/>
            </w:pPr>
            <w:r>
              <w:t xml:space="preserve">established that </w:t>
            </w:r>
            <w:r w:rsidRPr="00C46294">
              <w:t>TCLR</w:t>
            </w:r>
            <w:r>
              <w:t xml:space="preserve"> </w:t>
            </w:r>
            <w:r w:rsidRPr="00C46294">
              <w:t>retain</w:t>
            </w:r>
            <w:r w:rsidR="00EE4C4B">
              <w:t>ed</w:t>
            </w:r>
            <w:r w:rsidRPr="00C46294">
              <w:t xml:space="preserve"> authority for final adoption of all rules and </w:t>
            </w:r>
            <w:r w:rsidR="00EE4C4B">
              <w:t>wa</w:t>
            </w:r>
            <w:r w:rsidRPr="00C46294">
              <w:t>s responsible for ensuring compliance with all laws regarding the rulemaking process</w:t>
            </w:r>
            <w:r w:rsidR="00201F99">
              <w:t>; and</w:t>
            </w:r>
          </w:p>
          <w:p w14:paraId="5B6F9D3F" w14:textId="12E522B4" w:rsidR="00921574" w:rsidRDefault="001E001F" w:rsidP="00455BFC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>t</w:t>
            </w:r>
            <w:r w:rsidR="00C6630C">
              <w:t xml:space="preserve">he substitute includes provisions absent in the </w:t>
            </w:r>
            <w:r>
              <w:t>engrossed</w:t>
            </w:r>
            <w:r w:rsidR="00C6630C">
              <w:t xml:space="preserve"> that do the following instead:</w:t>
            </w:r>
          </w:p>
          <w:p w14:paraId="7647DA8F" w14:textId="6DAB3EF0" w:rsidR="00F70BD2" w:rsidRDefault="001E001F" w:rsidP="00455BFC">
            <w:pPr>
              <w:pStyle w:val="ListParagraph"/>
              <w:numPr>
                <w:ilvl w:val="1"/>
                <w:numId w:val="4"/>
              </w:numPr>
              <w:contextualSpacing w:val="0"/>
              <w:jc w:val="both"/>
            </w:pPr>
            <w:r>
              <w:t xml:space="preserve">require </w:t>
            </w:r>
            <w:r w:rsidRPr="00330677">
              <w:t>the TBVME</w:t>
            </w:r>
            <w:r>
              <w:t xml:space="preserve"> to</w:t>
            </w:r>
            <w:r w:rsidRPr="00330677">
              <w:t xml:space="preserve"> adopt </w:t>
            </w:r>
            <w:r w:rsidR="000C0344">
              <w:t xml:space="preserve">the </w:t>
            </w:r>
            <w:r w:rsidRPr="00330677">
              <w:t xml:space="preserve">rules relating to </w:t>
            </w:r>
            <w:r w:rsidR="000C0344">
              <w:t>the</w:t>
            </w:r>
            <w:r w:rsidR="000C0344" w:rsidRPr="00330677">
              <w:t xml:space="preserve"> </w:t>
            </w:r>
            <w:r w:rsidRPr="00330677">
              <w:t>scope</w:t>
            </w:r>
            <w:r w:rsidR="000C0344">
              <w:t xml:space="preserve"> </w:t>
            </w:r>
            <w:r w:rsidR="000C0344" w:rsidRPr="000C0344">
              <w:t>of practice of or a health-related standard of care for the practice of the profession of veterinary medicine</w:t>
            </w:r>
            <w:r w:rsidR="000C0344">
              <w:t xml:space="preserve"> but </w:t>
            </w:r>
            <w:r>
              <w:t>provide for the review of each adopted rule by</w:t>
            </w:r>
            <w:r w:rsidR="00C6630C">
              <w:t xml:space="preserve"> </w:t>
            </w:r>
            <w:r w:rsidR="00C6630C" w:rsidRPr="00C6630C">
              <w:t>TCLR</w:t>
            </w:r>
            <w:r>
              <w:t>;</w:t>
            </w:r>
          </w:p>
          <w:p w14:paraId="42072CAD" w14:textId="77777777" w:rsidR="006146BE" w:rsidRDefault="001E001F" w:rsidP="00455BFC">
            <w:pPr>
              <w:pStyle w:val="ListParagraph"/>
              <w:numPr>
                <w:ilvl w:val="1"/>
                <w:numId w:val="4"/>
              </w:numPr>
              <w:contextualSpacing w:val="0"/>
              <w:jc w:val="both"/>
            </w:pPr>
            <w:r>
              <w:t>require</w:t>
            </w:r>
            <w:r w:rsidR="00C6630C" w:rsidRPr="00C6630C">
              <w:t xml:space="preserve"> TCLR</w:t>
            </w:r>
            <w:r>
              <w:t>, on</w:t>
            </w:r>
            <w:r w:rsidR="00C6630C" w:rsidRPr="00C6630C">
              <w:t xml:space="preserve"> determin</w:t>
            </w:r>
            <w:r>
              <w:t>ing</w:t>
            </w:r>
            <w:r w:rsidR="00C6630C" w:rsidRPr="00C6630C">
              <w:t xml:space="preserve"> </w:t>
            </w:r>
            <w:r>
              <w:t xml:space="preserve">a rule </w:t>
            </w:r>
            <w:r w:rsidR="00C6630C" w:rsidRPr="00C6630C">
              <w:t xml:space="preserve">is not authorized by law or is an unauthorized anticompetitive rule, </w:t>
            </w:r>
            <w:r>
              <w:t xml:space="preserve">to </w:t>
            </w:r>
            <w:r w:rsidR="00C6630C" w:rsidRPr="00C6630C">
              <w:t>issue an order stating that determination</w:t>
            </w:r>
            <w:r>
              <w:t>;</w:t>
            </w:r>
          </w:p>
          <w:p w14:paraId="48842139" w14:textId="369B605D" w:rsidR="00C6630C" w:rsidRDefault="001E001F" w:rsidP="00455BFC">
            <w:pPr>
              <w:pStyle w:val="ListParagraph"/>
              <w:numPr>
                <w:ilvl w:val="1"/>
                <w:numId w:val="4"/>
              </w:numPr>
              <w:contextualSpacing w:val="0"/>
              <w:jc w:val="both"/>
            </w:pPr>
            <w:r>
              <w:t>prohibit a</w:t>
            </w:r>
            <w:r w:rsidRPr="00C6630C">
              <w:t xml:space="preserve"> rule for which </w:t>
            </w:r>
            <w:r>
              <w:t xml:space="preserve">such </w:t>
            </w:r>
            <w:r w:rsidRPr="00C6630C">
              <w:t xml:space="preserve">an order is issued </w:t>
            </w:r>
            <w:r>
              <w:t>from</w:t>
            </w:r>
            <w:r w:rsidRPr="00C6630C">
              <w:t xml:space="preserve"> tak</w:t>
            </w:r>
            <w:r>
              <w:t>ing</w:t>
            </w:r>
            <w:r w:rsidRPr="00C6630C">
              <w:t xml:space="preserve"> effect or be</w:t>
            </w:r>
            <w:r>
              <w:t>ing</w:t>
            </w:r>
            <w:r w:rsidRPr="00C6630C">
              <w:t xml:space="preserve"> enforced</w:t>
            </w:r>
            <w:r>
              <w:t>; and</w:t>
            </w:r>
          </w:p>
          <w:p w14:paraId="2F3A8FC6" w14:textId="40A2FF6D" w:rsidR="00330677" w:rsidRDefault="001E001F" w:rsidP="00455BFC">
            <w:pPr>
              <w:pStyle w:val="ListParagraph"/>
              <w:numPr>
                <w:ilvl w:val="1"/>
                <w:numId w:val="4"/>
              </w:numPr>
              <w:contextualSpacing w:val="0"/>
              <w:jc w:val="both"/>
            </w:pPr>
            <w:r>
              <w:t xml:space="preserve">require </w:t>
            </w:r>
            <w:r w:rsidRPr="00C6630C">
              <w:t xml:space="preserve">TCLR </w:t>
            </w:r>
            <w:r>
              <w:t>to</w:t>
            </w:r>
            <w:r w:rsidRPr="00C6630C">
              <w:t xml:space="preserve"> adopt all rules necessary to implement the Veterinary Licensing Act</w:t>
            </w:r>
            <w:r w:rsidR="00F70BD2">
              <w:t>, except with respect to those rules adopted by the TBVME</w:t>
            </w:r>
            <w:r w:rsidR="00EE4C4B">
              <w:t>.</w:t>
            </w:r>
          </w:p>
          <w:p w14:paraId="679CDB04" w14:textId="078B2849" w:rsidR="00EE4C4B" w:rsidRDefault="00EE4C4B" w:rsidP="00455BFC">
            <w:pPr>
              <w:jc w:val="both"/>
            </w:pPr>
          </w:p>
          <w:p w14:paraId="5A3AD75D" w14:textId="229E10F6" w:rsidR="00EE4C4B" w:rsidRDefault="001E001F" w:rsidP="00455BFC">
            <w:pPr>
              <w:jc w:val="both"/>
            </w:pPr>
            <w:r>
              <w:t>The substitute includes a provi</w:t>
            </w:r>
            <w:r>
              <w:t>sion absent in the engrossed authoriz</w:t>
            </w:r>
            <w:r w:rsidR="00F70BD2">
              <w:t>ing</w:t>
            </w:r>
            <w:r>
              <w:t xml:space="preserve"> </w:t>
            </w:r>
            <w:r w:rsidRPr="00EE4C4B">
              <w:t>TCLR</w:t>
            </w:r>
            <w:r>
              <w:t xml:space="preserve"> or </w:t>
            </w:r>
            <w:r w:rsidRPr="00EE4C4B">
              <w:t xml:space="preserve">TDLR, as applicable, </w:t>
            </w:r>
            <w:r>
              <w:t>to</w:t>
            </w:r>
            <w:r w:rsidRPr="00EE4C4B">
              <w:t xml:space="preserve"> have a</w:t>
            </w:r>
            <w:r>
              <w:t xml:space="preserve"> </w:t>
            </w:r>
            <w:r w:rsidRPr="00EE4C4B">
              <w:t>TBVME member who is a veterinarian licensed in good standing in</w:t>
            </w:r>
            <w:r>
              <w:t xml:space="preserve"> Texas</w:t>
            </w:r>
            <w:r w:rsidRPr="00EE4C4B">
              <w:t xml:space="preserve"> serve as </w:t>
            </w:r>
            <w:r>
              <w:t xml:space="preserve">an </w:t>
            </w:r>
            <w:r w:rsidRPr="00EE4C4B">
              <w:t>expert witness</w:t>
            </w:r>
            <w:r>
              <w:t xml:space="preserve"> f</w:t>
            </w:r>
            <w:r w:rsidRPr="00EE4C4B">
              <w:t>or any rulemaking or contested case for which an expert witness is necessary</w:t>
            </w:r>
            <w:r>
              <w:t>.</w:t>
            </w:r>
          </w:p>
          <w:p w14:paraId="4D379274" w14:textId="1CCFB418" w:rsidR="00330677" w:rsidRPr="00330677" w:rsidRDefault="00330677" w:rsidP="00455BFC">
            <w:pPr>
              <w:jc w:val="both"/>
            </w:pPr>
          </w:p>
        </w:tc>
      </w:tr>
      <w:tr w:rsidR="00B30FAF" w14:paraId="7FB7FA2A" w14:textId="77777777" w:rsidTr="00345119">
        <w:tc>
          <w:tcPr>
            <w:tcW w:w="9576" w:type="dxa"/>
          </w:tcPr>
          <w:p w14:paraId="0755C01E" w14:textId="77777777" w:rsidR="00104796" w:rsidRPr="009C1E9A" w:rsidRDefault="00104796" w:rsidP="00455BFC">
            <w:pPr>
              <w:rPr>
                <w:b/>
                <w:u w:val="single"/>
              </w:rPr>
            </w:pPr>
          </w:p>
        </w:tc>
      </w:tr>
      <w:tr w:rsidR="00B30FAF" w14:paraId="6D6DBF06" w14:textId="77777777" w:rsidTr="00345119">
        <w:tc>
          <w:tcPr>
            <w:tcW w:w="9576" w:type="dxa"/>
          </w:tcPr>
          <w:p w14:paraId="50051119" w14:textId="77777777" w:rsidR="00104796" w:rsidRPr="00104796" w:rsidRDefault="00104796" w:rsidP="00455BFC">
            <w:pPr>
              <w:jc w:val="both"/>
            </w:pPr>
          </w:p>
        </w:tc>
      </w:tr>
    </w:tbl>
    <w:p w14:paraId="26464C4E" w14:textId="77777777" w:rsidR="008423E4" w:rsidRPr="00BE0E75" w:rsidRDefault="008423E4" w:rsidP="00455BFC">
      <w:pPr>
        <w:jc w:val="both"/>
        <w:rPr>
          <w:rFonts w:ascii="Arial" w:hAnsi="Arial"/>
          <w:sz w:val="16"/>
          <w:szCs w:val="16"/>
        </w:rPr>
      </w:pPr>
    </w:p>
    <w:p w14:paraId="71EA2160" w14:textId="77777777" w:rsidR="004108C3" w:rsidRPr="008423E4" w:rsidRDefault="004108C3" w:rsidP="00455BF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B5CB0" w14:textId="77777777" w:rsidR="00000000" w:rsidRDefault="001E001F">
      <w:r>
        <w:separator/>
      </w:r>
    </w:p>
  </w:endnote>
  <w:endnote w:type="continuationSeparator" w:id="0">
    <w:p w14:paraId="11EA1679" w14:textId="77777777" w:rsidR="00000000" w:rsidRDefault="001E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6F4D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30FAF" w14:paraId="235D76A4" w14:textId="77777777" w:rsidTr="009C1E9A">
      <w:trPr>
        <w:cantSplit/>
      </w:trPr>
      <w:tc>
        <w:tcPr>
          <w:tcW w:w="0" w:type="pct"/>
        </w:tcPr>
        <w:p w14:paraId="4CD5CA6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0C36BF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412080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2CA9C7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1E1ED6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0FAF" w14:paraId="363EE8F3" w14:textId="77777777" w:rsidTr="009C1E9A">
      <w:trPr>
        <w:cantSplit/>
      </w:trPr>
      <w:tc>
        <w:tcPr>
          <w:tcW w:w="0" w:type="pct"/>
        </w:tcPr>
        <w:p w14:paraId="539D2C7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FBFEEF4" w14:textId="77777777" w:rsidR="00EC379B" w:rsidRPr="009C1E9A" w:rsidRDefault="001E001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24608-D</w:t>
          </w:r>
        </w:p>
      </w:tc>
      <w:tc>
        <w:tcPr>
          <w:tcW w:w="2453" w:type="pct"/>
        </w:tcPr>
        <w:p w14:paraId="113EEE0B" w14:textId="71B0E370" w:rsidR="00EC379B" w:rsidRDefault="001E00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35290">
            <w:t>23.121.754</w:t>
          </w:r>
          <w:r>
            <w:fldChar w:fldCharType="end"/>
          </w:r>
        </w:p>
      </w:tc>
    </w:tr>
    <w:tr w:rsidR="00B30FAF" w14:paraId="1AEDC037" w14:textId="77777777" w:rsidTr="009C1E9A">
      <w:trPr>
        <w:cantSplit/>
      </w:trPr>
      <w:tc>
        <w:tcPr>
          <w:tcW w:w="0" w:type="pct"/>
        </w:tcPr>
        <w:p w14:paraId="267B7AA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A1D6AB3" w14:textId="77777777" w:rsidR="00EC379B" w:rsidRPr="009C1E9A" w:rsidRDefault="001E001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23196</w:t>
          </w:r>
        </w:p>
      </w:tc>
      <w:tc>
        <w:tcPr>
          <w:tcW w:w="2453" w:type="pct"/>
        </w:tcPr>
        <w:p w14:paraId="059355E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05368F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0FAF" w14:paraId="303371F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DF3CF95" w14:textId="77777777" w:rsidR="00EC379B" w:rsidRDefault="001E001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D6F419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0A7777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36FC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81E8" w14:textId="77777777" w:rsidR="00000000" w:rsidRDefault="001E001F">
      <w:r>
        <w:separator/>
      </w:r>
    </w:p>
  </w:footnote>
  <w:footnote w:type="continuationSeparator" w:id="0">
    <w:p w14:paraId="3E516450" w14:textId="77777777" w:rsidR="00000000" w:rsidRDefault="001E0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81EE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FE27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2B73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86DFE"/>
    <w:multiLevelType w:val="hybridMultilevel"/>
    <w:tmpl w:val="EC52C6B8"/>
    <w:lvl w:ilvl="0" w:tplc="4D948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4208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E88E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0ED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30A7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3037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AF6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EE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7A77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BEA"/>
    <w:multiLevelType w:val="hybridMultilevel"/>
    <w:tmpl w:val="94CA6FCC"/>
    <w:lvl w:ilvl="0" w:tplc="AA5293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0C35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98BD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FAD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C64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E25B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274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5633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6273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74158"/>
    <w:multiLevelType w:val="hybridMultilevel"/>
    <w:tmpl w:val="3FC2412C"/>
    <w:lvl w:ilvl="0" w:tplc="EFA05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B2E6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C6A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868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5AA1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C024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ED6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254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AE70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30754"/>
    <w:multiLevelType w:val="hybridMultilevel"/>
    <w:tmpl w:val="185CF8FA"/>
    <w:lvl w:ilvl="0" w:tplc="CC58ED62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90E63B36" w:tentative="1">
      <w:start w:val="1"/>
      <w:numFmt w:val="lowerLetter"/>
      <w:lvlText w:val="%2."/>
      <w:lvlJc w:val="left"/>
      <w:pPr>
        <w:ind w:left="1440" w:hanging="360"/>
      </w:pPr>
    </w:lvl>
    <w:lvl w:ilvl="2" w:tplc="0D7C91DE" w:tentative="1">
      <w:start w:val="1"/>
      <w:numFmt w:val="lowerRoman"/>
      <w:lvlText w:val="%3."/>
      <w:lvlJc w:val="right"/>
      <w:pPr>
        <w:ind w:left="2160" w:hanging="180"/>
      </w:pPr>
    </w:lvl>
    <w:lvl w:ilvl="3" w:tplc="7B561F64" w:tentative="1">
      <w:start w:val="1"/>
      <w:numFmt w:val="decimal"/>
      <w:lvlText w:val="%4."/>
      <w:lvlJc w:val="left"/>
      <w:pPr>
        <w:ind w:left="2880" w:hanging="360"/>
      </w:pPr>
    </w:lvl>
    <w:lvl w:ilvl="4" w:tplc="CA40AF12" w:tentative="1">
      <w:start w:val="1"/>
      <w:numFmt w:val="lowerLetter"/>
      <w:lvlText w:val="%5."/>
      <w:lvlJc w:val="left"/>
      <w:pPr>
        <w:ind w:left="3600" w:hanging="360"/>
      </w:pPr>
    </w:lvl>
    <w:lvl w:ilvl="5" w:tplc="DA44185C" w:tentative="1">
      <w:start w:val="1"/>
      <w:numFmt w:val="lowerRoman"/>
      <w:lvlText w:val="%6."/>
      <w:lvlJc w:val="right"/>
      <w:pPr>
        <w:ind w:left="4320" w:hanging="180"/>
      </w:pPr>
    </w:lvl>
    <w:lvl w:ilvl="6" w:tplc="F9BC3AFC" w:tentative="1">
      <w:start w:val="1"/>
      <w:numFmt w:val="decimal"/>
      <w:lvlText w:val="%7."/>
      <w:lvlJc w:val="left"/>
      <w:pPr>
        <w:ind w:left="5040" w:hanging="360"/>
      </w:pPr>
    </w:lvl>
    <w:lvl w:ilvl="7" w:tplc="36C819EC" w:tentative="1">
      <w:start w:val="1"/>
      <w:numFmt w:val="lowerLetter"/>
      <w:lvlText w:val="%8."/>
      <w:lvlJc w:val="left"/>
      <w:pPr>
        <w:ind w:left="5760" w:hanging="360"/>
      </w:pPr>
    </w:lvl>
    <w:lvl w:ilvl="8" w:tplc="B4DE1D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773997">
    <w:abstractNumId w:val="1"/>
  </w:num>
  <w:num w:numId="2" w16cid:durableId="1106002102">
    <w:abstractNumId w:val="3"/>
  </w:num>
  <w:num w:numId="3" w16cid:durableId="176503496">
    <w:abstractNumId w:val="0"/>
  </w:num>
  <w:num w:numId="4" w16cid:durableId="214588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9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0344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6185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4796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0CBC"/>
    <w:rsid w:val="00141FB6"/>
    <w:rsid w:val="00142CB2"/>
    <w:rsid w:val="00142F8E"/>
    <w:rsid w:val="00143C8B"/>
    <w:rsid w:val="00147530"/>
    <w:rsid w:val="0015331F"/>
    <w:rsid w:val="00156AB2"/>
    <w:rsid w:val="00160402"/>
    <w:rsid w:val="00160571"/>
    <w:rsid w:val="00161374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4672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001F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1F99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37A8C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675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1854"/>
    <w:rsid w:val="002E21B8"/>
    <w:rsid w:val="002E7DF9"/>
    <w:rsid w:val="002F097B"/>
    <w:rsid w:val="002F17CC"/>
    <w:rsid w:val="002F2147"/>
    <w:rsid w:val="002F3111"/>
    <w:rsid w:val="002F4AEC"/>
    <w:rsid w:val="002F795D"/>
    <w:rsid w:val="00300823"/>
    <w:rsid w:val="00300D7F"/>
    <w:rsid w:val="00301638"/>
    <w:rsid w:val="00301F0E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0677"/>
    <w:rsid w:val="00333930"/>
    <w:rsid w:val="0033486E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C92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55BFC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3CD3"/>
    <w:rsid w:val="004E47F2"/>
    <w:rsid w:val="004E4E2B"/>
    <w:rsid w:val="004E5D4F"/>
    <w:rsid w:val="004E5DEA"/>
    <w:rsid w:val="004E6639"/>
    <w:rsid w:val="004E6BAE"/>
    <w:rsid w:val="004F32AD"/>
    <w:rsid w:val="004F3E48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5290"/>
    <w:rsid w:val="005363BB"/>
    <w:rsid w:val="00541B98"/>
    <w:rsid w:val="00543374"/>
    <w:rsid w:val="00545548"/>
    <w:rsid w:val="005467A1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3797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261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6940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6BE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7985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2BA5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C7E"/>
    <w:rsid w:val="00731DE3"/>
    <w:rsid w:val="00735B9D"/>
    <w:rsid w:val="007365A5"/>
    <w:rsid w:val="00736FB0"/>
    <w:rsid w:val="007404BC"/>
    <w:rsid w:val="00740D13"/>
    <w:rsid w:val="00740F5F"/>
    <w:rsid w:val="00741AB5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29A4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65A5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13F9"/>
    <w:rsid w:val="008347A9"/>
    <w:rsid w:val="00835628"/>
    <w:rsid w:val="00835E90"/>
    <w:rsid w:val="0084176D"/>
    <w:rsid w:val="008423E4"/>
    <w:rsid w:val="00842900"/>
    <w:rsid w:val="00845BB1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77FED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55D0"/>
    <w:rsid w:val="00917E0C"/>
    <w:rsid w:val="00920711"/>
    <w:rsid w:val="00921574"/>
    <w:rsid w:val="00921A1E"/>
    <w:rsid w:val="00924EA9"/>
    <w:rsid w:val="00925CE1"/>
    <w:rsid w:val="00925F5C"/>
    <w:rsid w:val="009271B3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2EF9"/>
    <w:rsid w:val="00953499"/>
    <w:rsid w:val="00954A16"/>
    <w:rsid w:val="0095696D"/>
    <w:rsid w:val="00957EC6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2ADD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1D4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6846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776D"/>
    <w:rsid w:val="00AF1433"/>
    <w:rsid w:val="00AF48B4"/>
    <w:rsid w:val="00AF4923"/>
    <w:rsid w:val="00AF7C74"/>
    <w:rsid w:val="00B000AF"/>
    <w:rsid w:val="00B04E79"/>
    <w:rsid w:val="00B055E6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0FAF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4B32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1858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17FE1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6294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630C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286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9D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07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783"/>
    <w:rsid w:val="00E529C8"/>
    <w:rsid w:val="00E55DA0"/>
    <w:rsid w:val="00E56033"/>
    <w:rsid w:val="00E61159"/>
    <w:rsid w:val="00E625DA"/>
    <w:rsid w:val="00E634DC"/>
    <w:rsid w:val="00E64B09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19B"/>
    <w:rsid w:val="00EE2E34"/>
    <w:rsid w:val="00EE2E91"/>
    <w:rsid w:val="00EE3370"/>
    <w:rsid w:val="00EE43A2"/>
    <w:rsid w:val="00EE46B7"/>
    <w:rsid w:val="00EE4C4B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BD2"/>
    <w:rsid w:val="00F70F8D"/>
    <w:rsid w:val="00F71C5A"/>
    <w:rsid w:val="00F733A4"/>
    <w:rsid w:val="00F7758F"/>
    <w:rsid w:val="00F77F72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9A4213-C9FB-464E-A781-3D75F5C1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932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3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32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3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3261"/>
    <w:rPr>
      <w:b/>
      <w:bCs/>
    </w:rPr>
  </w:style>
  <w:style w:type="character" w:styleId="Hyperlink">
    <w:name w:val="Hyperlink"/>
    <w:basedOn w:val="DefaultParagraphFont"/>
    <w:unhideWhenUsed/>
    <w:rsid w:val="0059326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32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4C4B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D929D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C03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1431</Words>
  <Characters>7757</Characters>
  <Application>Microsoft Office Word</Application>
  <DocSecurity>4</DocSecurity>
  <Lines>163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SB01414 (Committee Report (Substituted))</vt:lpstr>
    </vt:vector>
  </TitlesOfParts>
  <Company>State of Texas</Company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24608</dc:subject>
  <dc:creator>State of Texas</dc:creator>
  <dc:description>SB 1414 by Johnson-(H)Agriculture &amp; Livestock (Substitute Document Number: 88R 23196)</dc:description>
  <cp:lastModifiedBy>Stacey Nicchio</cp:lastModifiedBy>
  <cp:revision>2</cp:revision>
  <cp:lastPrinted>2003-11-26T17:21:00Z</cp:lastPrinted>
  <dcterms:created xsi:type="dcterms:W3CDTF">2023-05-03T20:45:00Z</dcterms:created>
  <dcterms:modified xsi:type="dcterms:W3CDTF">2023-05-03T20:45:00Z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23.121.754</vt:lpwstr>
  </property>
</Properties>
</file>