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619CD" w14:paraId="508EA21D" w14:textId="77777777" w:rsidTr="00345119">
        <w:tc>
          <w:tcPr>
            <w:tcW w:w="9576" w:type="dxa"/>
            <w:noWrap/>
          </w:tcPr>
          <w:p w14:paraId="779CAC65" w14:textId="77777777" w:rsidR="008423E4" w:rsidRPr="0022177D" w:rsidRDefault="00242E10" w:rsidP="004F557E">
            <w:pPr>
              <w:pStyle w:val="Heading1"/>
            </w:pPr>
            <w:r w:rsidRPr="00631897">
              <w:t>BILL ANALYSIS</w:t>
            </w:r>
          </w:p>
        </w:tc>
      </w:tr>
    </w:tbl>
    <w:p w14:paraId="0AEE2375" w14:textId="77777777" w:rsidR="008423E4" w:rsidRPr="0022177D" w:rsidRDefault="008423E4" w:rsidP="004F557E">
      <w:pPr>
        <w:jc w:val="center"/>
      </w:pPr>
    </w:p>
    <w:p w14:paraId="6CD2E8B6" w14:textId="77777777" w:rsidR="008423E4" w:rsidRPr="00B31F0E" w:rsidRDefault="008423E4" w:rsidP="004F557E"/>
    <w:p w14:paraId="72368A92" w14:textId="77777777" w:rsidR="008423E4" w:rsidRPr="00742794" w:rsidRDefault="008423E4" w:rsidP="004F557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619CD" w14:paraId="092D06AC" w14:textId="77777777" w:rsidTr="00345119">
        <w:tc>
          <w:tcPr>
            <w:tcW w:w="9576" w:type="dxa"/>
          </w:tcPr>
          <w:p w14:paraId="316EF801" w14:textId="5EC6A997" w:rsidR="008423E4" w:rsidRPr="00861995" w:rsidRDefault="00242E10" w:rsidP="004F557E">
            <w:pPr>
              <w:jc w:val="right"/>
            </w:pPr>
            <w:r>
              <w:t>S.B. 1431</w:t>
            </w:r>
          </w:p>
        </w:tc>
      </w:tr>
      <w:tr w:rsidR="000619CD" w14:paraId="1B8A274A" w14:textId="77777777" w:rsidTr="00345119">
        <w:tc>
          <w:tcPr>
            <w:tcW w:w="9576" w:type="dxa"/>
          </w:tcPr>
          <w:p w14:paraId="1F65B2D4" w14:textId="602097B3" w:rsidR="008423E4" w:rsidRPr="00861995" w:rsidRDefault="00242E10" w:rsidP="004F557E">
            <w:pPr>
              <w:jc w:val="right"/>
            </w:pPr>
            <w:r>
              <w:t xml:space="preserve">By: </w:t>
            </w:r>
            <w:r w:rsidR="00094CC4">
              <w:t>Hinojosa</w:t>
            </w:r>
          </w:p>
        </w:tc>
      </w:tr>
      <w:tr w:rsidR="000619CD" w14:paraId="345D20CF" w14:textId="77777777" w:rsidTr="00345119">
        <w:tc>
          <w:tcPr>
            <w:tcW w:w="9576" w:type="dxa"/>
          </w:tcPr>
          <w:p w14:paraId="1E12052C" w14:textId="60760B87" w:rsidR="008423E4" w:rsidRPr="00861995" w:rsidRDefault="00242E10" w:rsidP="004F557E">
            <w:pPr>
              <w:jc w:val="right"/>
            </w:pPr>
            <w:r>
              <w:t>State Affairs</w:t>
            </w:r>
          </w:p>
        </w:tc>
      </w:tr>
      <w:tr w:rsidR="000619CD" w14:paraId="36F1012E" w14:textId="77777777" w:rsidTr="00345119">
        <w:tc>
          <w:tcPr>
            <w:tcW w:w="9576" w:type="dxa"/>
          </w:tcPr>
          <w:p w14:paraId="73C06509" w14:textId="5BB7771C" w:rsidR="008423E4" w:rsidRDefault="00242E10" w:rsidP="004F557E">
            <w:pPr>
              <w:jc w:val="right"/>
            </w:pPr>
            <w:r>
              <w:t>Committee Report (Unamended)</w:t>
            </w:r>
          </w:p>
        </w:tc>
      </w:tr>
    </w:tbl>
    <w:p w14:paraId="56C725BD" w14:textId="77777777" w:rsidR="008423E4" w:rsidRDefault="008423E4" w:rsidP="004F557E">
      <w:pPr>
        <w:tabs>
          <w:tab w:val="right" w:pos="9360"/>
        </w:tabs>
      </w:pPr>
    </w:p>
    <w:p w14:paraId="30FFB04F" w14:textId="77777777" w:rsidR="008423E4" w:rsidRDefault="008423E4" w:rsidP="004F557E"/>
    <w:p w14:paraId="5C1B88B6" w14:textId="77777777" w:rsidR="008423E4" w:rsidRDefault="008423E4" w:rsidP="004F557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619CD" w14:paraId="2599D084" w14:textId="77777777" w:rsidTr="00345119">
        <w:tc>
          <w:tcPr>
            <w:tcW w:w="9576" w:type="dxa"/>
          </w:tcPr>
          <w:p w14:paraId="275888EF" w14:textId="77777777" w:rsidR="008423E4" w:rsidRPr="00A8133F" w:rsidRDefault="00242E10" w:rsidP="004F557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A89F200" w14:textId="77777777" w:rsidR="008423E4" w:rsidRDefault="008423E4" w:rsidP="004F557E"/>
          <w:p w14:paraId="69158DD0" w14:textId="68DE4305" w:rsidR="008423E4" w:rsidRDefault="00242E10" w:rsidP="004F557E">
            <w:pPr>
              <w:pStyle w:val="Header"/>
              <w:jc w:val="both"/>
            </w:pPr>
            <w:r>
              <w:t>In</w:t>
            </w:r>
            <w:r w:rsidR="00681A10">
              <w:t xml:space="preserve"> its legislative appropriation</w:t>
            </w:r>
            <w:r w:rsidR="00597991">
              <w:t>s</w:t>
            </w:r>
            <w:r w:rsidR="00681A10">
              <w:t xml:space="preserve"> request submitted for the 2024-2025 biennium, the State Office of Administrative Hearings (SOAH) indicated that in a given year SOAH will hear an </w:t>
            </w:r>
            <w:r w:rsidR="00E963A2" w:rsidRPr="00E963A2">
              <w:t xml:space="preserve">average of 25,000 </w:t>
            </w:r>
            <w:r>
              <w:t xml:space="preserve">cases </w:t>
            </w:r>
            <w:r w:rsidR="00E963A2" w:rsidRPr="00E963A2">
              <w:t>on behalf of over 60 state agencies</w:t>
            </w:r>
            <w:r w:rsidR="00681A10">
              <w:t>. Administrative law</w:t>
            </w:r>
            <w:r w:rsidR="00E963A2" w:rsidRPr="00E963A2">
              <w:t xml:space="preserve"> judges</w:t>
            </w:r>
            <w:r w:rsidR="00681A10">
              <w:t xml:space="preserve"> employed by SOAH</w:t>
            </w:r>
            <w:r w:rsidR="00E963A2" w:rsidRPr="00E963A2">
              <w:t xml:space="preserve"> are regularly called upon to make difficult and sensitive decisions that affect people</w:t>
            </w:r>
            <w:r w:rsidR="000651EA">
              <w:t>'</w:t>
            </w:r>
            <w:r w:rsidR="00E963A2" w:rsidRPr="00E963A2">
              <w:t>s personal lives and livelihood</w:t>
            </w:r>
            <w:r w:rsidR="000651EA">
              <w:t>s</w:t>
            </w:r>
            <w:r w:rsidR="00E963A2" w:rsidRPr="00E963A2">
              <w:t>. Their cases can involve such personal and sensitive topics as child abuse and neglect, driver</w:t>
            </w:r>
            <w:r w:rsidR="00E963A2">
              <w:t>'</w:t>
            </w:r>
            <w:r w:rsidR="00E963A2" w:rsidRPr="00E963A2">
              <w:t>s license suspensions, child support enforcement, determinations of tax liability, educational rights, and the consequences of criminal conduct by state licensees.</w:t>
            </w:r>
          </w:p>
          <w:p w14:paraId="76DA999E" w14:textId="64BC4BAC" w:rsidR="00E963A2" w:rsidRDefault="00E963A2" w:rsidP="004F557E">
            <w:pPr>
              <w:pStyle w:val="Header"/>
              <w:jc w:val="both"/>
            </w:pPr>
          </w:p>
          <w:p w14:paraId="6228B842" w14:textId="3677ECA7" w:rsidR="00681A10" w:rsidRDefault="00242E10" w:rsidP="004F557E">
            <w:pPr>
              <w:pStyle w:val="Header"/>
              <w:jc w:val="both"/>
            </w:pPr>
            <w:r w:rsidRPr="00E963A2">
              <w:t xml:space="preserve">Safety for those who adjudicate the law is a prerequisite for the fair administration of justice, and </w:t>
            </w:r>
            <w:r>
              <w:t>t</w:t>
            </w:r>
            <w:r w:rsidRPr="00E963A2">
              <w:t>he proliferation of publicly avail</w:t>
            </w:r>
            <w:r w:rsidRPr="00E963A2">
              <w:t xml:space="preserve">able personal information regarding </w:t>
            </w:r>
            <w:r>
              <w:t>administrative law judges can</w:t>
            </w:r>
            <w:r w:rsidRPr="00E963A2">
              <w:t xml:space="preserve"> threaten the personal security and safety of the </w:t>
            </w:r>
            <w:r>
              <w:t>judges</w:t>
            </w:r>
            <w:r w:rsidRPr="00E963A2">
              <w:t xml:space="preserve"> and their families. </w:t>
            </w:r>
            <w:r>
              <w:t>State</w:t>
            </w:r>
            <w:r w:rsidRPr="00E963A2">
              <w:t xml:space="preserve"> law already protects the home address and other personal information of current and former federal and state</w:t>
            </w:r>
            <w:r w:rsidRPr="00E963A2">
              <w:t xml:space="preserve"> judges from public disclosure, but these protections do not extend to administrative law judges despite the similar risks that they face. This oversight leaves a gap that thwarts the purpose of protecting those who adjudicate the law. </w:t>
            </w:r>
          </w:p>
          <w:p w14:paraId="0F4AFDED" w14:textId="77777777" w:rsidR="00681A10" w:rsidRDefault="00681A10" w:rsidP="004F557E">
            <w:pPr>
              <w:pStyle w:val="Header"/>
              <w:jc w:val="both"/>
            </w:pPr>
          </w:p>
          <w:p w14:paraId="26AFFA86" w14:textId="31BE8C19" w:rsidR="00E963A2" w:rsidRDefault="00242E10" w:rsidP="004F557E">
            <w:pPr>
              <w:pStyle w:val="Header"/>
              <w:jc w:val="both"/>
            </w:pPr>
            <w:r w:rsidRPr="00E963A2">
              <w:t>S</w:t>
            </w:r>
            <w:r w:rsidR="00681A10">
              <w:t>.</w:t>
            </w:r>
            <w:r w:rsidRPr="00E963A2">
              <w:t>B</w:t>
            </w:r>
            <w:r w:rsidR="00681A10">
              <w:t>.</w:t>
            </w:r>
            <w:r w:rsidRPr="00E963A2">
              <w:t xml:space="preserve"> 1431 seeks to</w:t>
            </w:r>
            <w:r w:rsidRPr="00E963A2">
              <w:t xml:space="preserve"> </w:t>
            </w:r>
            <w:r w:rsidR="00681A10">
              <w:t>remedy this situation by extending certain confidentiality protections to current and former SOAH administrative law judges</w:t>
            </w:r>
            <w:r w:rsidRPr="00E963A2">
              <w:t>.</w:t>
            </w:r>
          </w:p>
          <w:p w14:paraId="7AEE5E05" w14:textId="77777777" w:rsidR="008423E4" w:rsidRPr="00E26B13" w:rsidRDefault="008423E4" w:rsidP="004F557E">
            <w:pPr>
              <w:rPr>
                <w:b/>
              </w:rPr>
            </w:pPr>
          </w:p>
        </w:tc>
      </w:tr>
      <w:tr w:rsidR="000619CD" w14:paraId="2382917D" w14:textId="77777777" w:rsidTr="00345119">
        <w:tc>
          <w:tcPr>
            <w:tcW w:w="9576" w:type="dxa"/>
          </w:tcPr>
          <w:p w14:paraId="18E1249C" w14:textId="77777777" w:rsidR="0017725B" w:rsidRDefault="00242E10" w:rsidP="004F557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046212F" w14:textId="77777777" w:rsidR="0017725B" w:rsidRDefault="0017725B" w:rsidP="004F557E">
            <w:pPr>
              <w:rPr>
                <w:b/>
                <w:u w:val="single"/>
              </w:rPr>
            </w:pPr>
          </w:p>
          <w:p w14:paraId="6BC77927" w14:textId="5E7FD0F7" w:rsidR="000415FC" w:rsidRPr="000415FC" w:rsidRDefault="00242E10" w:rsidP="004F557E">
            <w:pPr>
              <w:jc w:val="both"/>
            </w:pPr>
            <w:r>
              <w:t xml:space="preserve">It is the committee's opinion that this bill does not expressly create a criminal offense, </w:t>
            </w:r>
            <w:r>
              <w:t>increase the punishment for an existing criminal offense or category of offenses, or change the eligibility of a person for community supervision, parole, or mandatory supervision.</w:t>
            </w:r>
          </w:p>
          <w:p w14:paraId="0B53A8E2" w14:textId="77777777" w:rsidR="0017725B" w:rsidRPr="0017725B" w:rsidRDefault="0017725B" w:rsidP="004F557E">
            <w:pPr>
              <w:rPr>
                <w:b/>
                <w:u w:val="single"/>
              </w:rPr>
            </w:pPr>
          </w:p>
        </w:tc>
      </w:tr>
      <w:tr w:rsidR="000619CD" w14:paraId="11809921" w14:textId="77777777" w:rsidTr="00345119">
        <w:tc>
          <w:tcPr>
            <w:tcW w:w="9576" w:type="dxa"/>
          </w:tcPr>
          <w:p w14:paraId="63142267" w14:textId="77777777" w:rsidR="008423E4" w:rsidRPr="00A8133F" w:rsidRDefault="00242E10" w:rsidP="004F557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678B9E3" w14:textId="77777777" w:rsidR="008423E4" w:rsidRDefault="008423E4" w:rsidP="004F557E"/>
          <w:p w14:paraId="6A4C93CE" w14:textId="16CF27D8" w:rsidR="000415FC" w:rsidRDefault="00242E10" w:rsidP="004F557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</w:t>
            </w:r>
            <w:r>
              <w:t>does not expressly grant any additional rulemaking authority to a state officer, department, agency, or institution.</w:t>
            </w:r>
          </w:p>
          <w:p w14:paraId="3A6360AD" w14:textId="77777777" w:rsidR="008423E4" w:rsidRPr="00E21FDC" w:rsidRDefault="008423E4" w:rsidP="004F557E">
            <w:pPr>
              <w:rPr>
                <w:b/>
              </w:rPr>
            </w:pPr>
          </w:p>
        </w:tc>
      </w:tr>
      <w:tr w:rsidR="000619CD" w14:paraId="57323806" w14:textId="77777777" w:rsidTr="00345119">
        <w:tc>
          <w:tcPr>
            <w:tcW w:w="9576" w:type="dxa"/>
          </w:tcPr>
          <w:p w14:paraId="0D7F3705" w14:textId="77777777" w:rsidR="008423E4" w:rsidRPr="00A8133F" w:rsidRDefault="00242E10" w:rsidP="004F557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46E7ED9" w14:textId="77777777" w:rsidR="008423E4" w:rsidRDefault="008423E4" w:rsidP="004F557E"/>
          <w:p w14:paraId="428A3453" w14:textId="352FE8C7" w:rsidR="00006650" w:rsidRDefault="00242E10" w:rsidP="004F557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1431 amends the Government Code to </w:t>
            </w:r>
            <w:r w:rsidR="00EC1782" w:rsidRPr="00EC1782">
              <w:t xml:space="preserve">make the </w:t>
            </w:r>
            <w:r>
              <w:t xml:space="preserve">following </w:t>
            </w:r>
            <w:r w:rsidR="00EC1782" w:rsidRPr="00EC1782">
              <w:t>exception to required disclosure under state public information law applicable also to</w:t>
            </w:r>
            <w:r w:rsidR="000651EA">
              <w:t xml:space="preserve"> </w:t>
            </w:r>
            <w:r>
              <w:t xml:space="preserve">a current or former administrative law judge for the State Office of Administrative Hearings (SOAH): </w:t>
            </w:r>
          </w:p>
          <w:p w14:paraId="5513820A" w14:textId="6E47EC43" w:rsidR="00006650" w:rsidRDefault="00242E10" w:rsidP="004F557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EC1782">
              <w:t xml:space="preserve">the exception for </w:t>
            </w:r>
            <w:r>
              <w:t>information that relates to the person's</w:t>
            </w:r>
            <w:r w:rsidRPr="00EC1782">
              <w:t xml:space="preserve"> home address, home telephone number, emergency contact</w:t>
            </w:r>
            <w:r>
              <w:t>, or</w:t>
            </w:r>
            <w:r w:rsidRPr="00EC1782">
              <w:t xml:space="preserve"> social</w:t>
            </w:r>
            <w:r>
              <w:t xml:space="preserve"> </w:t>
            </w:r>
            <w:r w:rsidRPr="00EC1782">
              <w:t xml:space="preserve">security </w:t>
            </w:r>
            <w:r w:rsidRPr="00EC1782">
              <w:t xml:space="preserve">number </w:t>
            </w:r>
            <w:r>
              <w:t>or that reveals whether the person has family members; and</w:t>
            </w:r>
          </w:p>
          <w:p w14:paraId="3289EF37" w14:textId="16B7F927" w:rsidR="00EC1782" w:rsidRDefault="00242E10" w:rsidP="004F557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exception </w:t>
            </w:r>
            <w:r w:rsidRPr="00EC1782">
              <w:t>for certain personal identifying information of peace officers and other officials performing sensitive governmental functions</w:t>
            </w:r>
            <w:r>
              <w:t>.</w:t>
            </w:r>
          </w:p>
          <w:p w14:paraId="0B25A0FF" w14:textId="77777777" w:rsidR="00EC1782" w:rsidRDefault="00EC1782" w:rsidP="004F557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094692A" w14:textId="2B8F9D8C" w:rsidR="00006650" w:rsidRDefault="00242E10" w:rsidP="004F557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1431 amends the Tax Code to extend also to</w:t>
            </w:r>
            <w:r>
              <w:t xml:space="preserve"> a current or former administrative law judge for SOAH the confidentiality protections for certain home address information in</w:t>
            </w:r>
            <w:r w:rsidR="000415FC">
              <w:t xml:space="preserve"> local</w:t>
            </w:r>
            <w:r>
              <w:t xml:space="preserve"> property tax</w:t>
            </w:r>
            <w:r w:rsidR="000415FC">
              <w:t xml:space="preserve"> appraisal</w:t>
            </w:r>
            <w:r>
              <w:t xml:space="preserve"> records</w:t>
            </w:r>
            <w:r w:rsidR="000415FC">
              <w:t xml:space="preserve">. </w:t>
            </w:r>
          </w:p>
          <w:p w14:paraId="7F3AE037" w14:textId="77777777" w:rsidR="00006650" w:rsidRDefault="00006650" w:rsidP="004F557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C6F954E" w14:textId="3F9BD36F" w:rsidR="00EB0B4B" w:rsidRPr="009C36CD" w:rsidRDefault="00242E10" w:rsidP="004F557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1431</w:t>
            </w:r>
            <w:r w:rsidR="000415FC">
              <w:t xml:space="preserve"> applies only </w:t>
            </w:r>
            <w:r w:rsidR="000415FC" w:rsidRPr="000415FC">
              <w:t xml:space="preserve">to a request for information that is received by a governmental body or an officer on or after the </w:t>
            </w:r>
            <w:r w:rsidR="000415FC">
              <w:t xml:space="preserve">bill's </w:t>
            </w:r>
            <w:r w:rsidR="000415FC" w:rsidRPr="000415FC">
              <w:t>effective date</w:t>
            </w:r>
            <w:r w:rsidR="000415FC">
              <w:t xml:space="preserve">. </w:t>
            </w:r>
            <w:r w:rsidR="000415FC" w:rsidRPr="000415FC">
              <w:t xml:space="preserve">A request for information that was received before the </w:t>
            </w:r>
            <w:r w:rsidR="000415FC">
              <w:t xml:space="preserve">bill's </w:t>
            </w:r>
            <w:r w:rsidR="000415FC" w:rsidRPr="000415FC">
              <w:t>effective date is governed by the law in effect on the date the request was received, and the former law is continued in effect for that purpose.</w:t>
            </w:r>
          </w:p>
          <w:p w14:paraId="2BB4EE99" w14:textId="77777777" w:rsidR="008423E4" w:rsidRPr="00835628" w:rsidRDefault="008423E4" w:rsidP="004F557E">
            <w:pPr>
              <w:rPr>
                <w:b/>
              </w:rPr>
            </w:pPr>
          </w:p>
        </w:tc>
      </w:tr>
      <w:tr w:rsidR="000619CD" w14:paraId="4A9F50BA" w14:textId="77777777" w:rsidTr="00345119">
        <w:tc>
          <w:tcPr>
            <w:tcW w:w="9576" w:type="dxa"/>
          </w:tcPr>
          <w:p w14:paraId="3C9C3338" w14:textId="77777777" w:rsidR="008423E4" w:rsidRPr="00A8133F" w:rsidRDefault="00242E10" w:rsidP="004F557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F65BA8B" w14:textId="77777777" w:rsidR="008423E4" w:rsidRDefault="008423E4" w:rsidP="004F557E"/>
          <w:p w14:paraId="0CB2401D" w14:textId="6880810C" w:rsidR="008423E4" w:rsidRPr="003624F2" w:rsidRDefault="00242E10" w:rsidP="004F557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D52554E" w14:textId="77777777" w:rsidR="008423E4" w:rsidRPr="00233FDB" w:rsidRDefault="008423E4" w:rsidP="004F557E">
            <w:pPr>
              <w:rPr>
                <w:b/>
              </w:rPr>
            </w:pPr>
          </w:p>
        </w:tc>
      </w:tr>
    </w:tbl>
    <w:p w14:paraId="5CE8BCAC" w14:textId="77777777" w:rsidR="008423E4" w:rsidRPr="00BE0E75" w:rsidRDefault="008423E4" w:rsidP="004F557E">
      <w:pPr>
        <w:jc w:val="both"/>
        <w:rPr>
          <w:rFonts w:ascii="Arial" w:hAnsi="Arial"/>
          <w:sz w:val="16"/>
          <w:szCs w:val="16"/>
        </w:rPr>
      </w:pPr>
    </w:p>
    <w:p w14:paraId="679AE8CD" w14:textId="77777777" w:rsidR="004108C3" w:rsidRPr="008423E4" w:rsidRDefault="004108C3" w:rsidP="004F557E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5F297" w14:textId="77777777" w:rsidR="00000000" w:rsidRDefault="00242E10">
      <w:r>
        <w:separator/>
      </w:r>
    </w:p>
  </w:endnote>
  <w:endnote w:type="continuationSeparator" w:id="0">
    <w:p w14:paraId="7C4C8627" w14:textId="77777777" w:rsidR="00000000" w:rsidRDefault="0024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4F7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619CD" w14:paraId="4201C828" w14:textId="77777777" w:rsidTr="009C1E9A">
      <w:trPr>
        <w:cantSplit/>
      </w:trPr>
      <w:tc>
        <w:tcPr>
          <w:tcW w:w="0" w:type="pct"/>
        </w:tcPr>
        <w:p w14:paraId="3061566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13BA83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8B061A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19F153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EFCC44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619CD" w14:paraId="24CE605F" w14:textId="77777777" w:rsidTr="009C1E9A">
      <w:trPr>
        <w:cantSplit/>
      </w:trPr>
      <w:tc>
        <w:tcPr>
          <w:tcW w:w="0" w:type="pct"/>
        </w:tcPr>
        <w:p w14:paraId="5968789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7E69BA3" w14:textId="09EDEF1F" w:rsidR="00EC379B" w:rsidRPr="009C1E9A" w:rsidRDefault="00242E1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31573-D</w:t>
          </w:r>
        </w:p>
      </w:tc>
      <w:tc>
        <w:tcPr>
          <w:tcW w:w="2453" w:type="pct"/>
        </w:tcPr>
        <w:p w14:paraId="04ED75D7" w14:textId="5F27795A" w:rsidR="00EC379B" w:rsidRDefault="00242E1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F557E">
            <w:t>23.139.1808</w:t>
          </w:r>
          <w:r>
            <w:fldChar w:fldCharType="end"/>
          </w:r>
        </w:p>
      </w:tc>
    </w:tr>
    <w:tr w:rsidR="000619CD" w14:paraId="115D4D33" w14:textId="77777777" w:rsidTr="009C1E9A">
      <w:trPr>
        <w:cantSplit/>
      </w:trPr>
      <w:tc>
        <w:tcPr>
          <w:tcW w:w="0" w:type="pct"/>
        </w:tcPr>
        <w:p w14:paraId="1C53D6E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76762A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441B17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741C63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619CD" w14:paraId="0721751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367599F" w14:textId="77777777" w:rsidR="00EC379B" w:rsidRDefault="00242E1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EE5F62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9959FF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AF9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273BC" w14:textId="77777777" w:rsidR="00000000" w:rsidRDefault="00242E10">
      <w:r>
        <w:separator/>
      </w:r>
    </w:p>
  </w:footnote>
  <w:footnote w:type="continuationSeparator" w:id="0">
    <w:p w14:paraId="4D13B68E" w14:textId="77777777" w:rsidR="00000000" w:rsidRDefault="00242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B4E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56B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CBD2B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547"/>
    <w:multiLevelType w:val="hybridMultilevel"/>
    <w:tmpl w:val="A3F8E166"/>
    <w:lvl w:ilvl="0" w:tplc="4E8CB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6EEE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38B5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23E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FC5D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16EE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221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381C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B049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F21A6"/>
    <w:multiLevelType w:val="hybridMultilevel"/>
    <w:tmpl w:val="18049288"/>
    <w:lvl w:ilvl="0" w:tplc="0B145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8208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60B6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2D2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EA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62BE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8F2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621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2277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350964">
    <w:abstractNumId w:val="0"/>
  </w:num>
  <w:num w:numId="2" w16cid:durableId="2141220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BF"/>
    <w:rsid w:val="00000A70"/>
    <w:rsid w:val="000032B8"/>
    <w:rsid w:val="00003B06"/>
    <w:rsid w:val="000054B9"/>
    <w:rsid w:val="00006650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15FC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19CD"/>
    <w:rsid w:val="00064BF2"/>
    <w:rsid w:val="000651EA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4CC4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1DC4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2E10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20BF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57E"/>
    <w:rsid w:val="004F57CB"/>
    <w:rsid w:val="004F64F6"/>
    <w:rsid w:val="004F69C0"/>
    <w:rsid w:val="00500121"/>
    <w:rsid w:val="005017AC"/>
    <w:rsid w:val="00501E8A"/>
    <w:rsid w:val="00504D17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97991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1A1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0A59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31A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C48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4E6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40ED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5F37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66CF"/>
    <w:rsid w:val="00E87A99"/>
    <w:rsid w:val="00E90702"/>
    <w:rsid w:val="00E9241E"/>
    <w:rsid w:val="00E93DEF"/>
    <w:rsid w:val="00E947B1"/>
    <w:rsid w:val="00E963A2"/>
    <w:rsid w:val="00E96852"/>
    <w:rsid w:val="00EA16AC"/>
    <w:rsid w:val="00EA385A"/>
    <w:rsid w:val="00EA3931"/>
    <w:rsid w:val="00EA658E"/>
    <w:rsid w:val="00EA7A88"/>
    <w:rsid w:val="00EB0B4B"/>
    <w:rsid w:val="00EB27F2"/>
    <w:rsid w:val="00EB3928"/>
    <w:rsid w:val="00EB5373"/>
    <w:rsid w:val="00EC02A2"/>
    <w:rsid w:val="00EC178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5411"/>
    <w:rsid w:val="00FB73AE"/>
    <w:rsid w:val="00FC5388"/>
    <w:rsid w:val="00FC726C"/>
    <w:rsid w:val="00FD1B4B"/>
    <w:rsid w:val="00FD1B94"/>
    <w:rsid w:val="00FD2E62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B4567F-A326-4C53-9D04-7975AFC0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415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15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15F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15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15FC"/>
    <w:rPr>
      <w:b/>
      <w:bCs/>
    </w:rPr>
  </w:style>
  <w:style w:type="paragraph" w:styleId="Revision">
    <w:name w:val="Revision"/>
    <w:hidden/>
    <w:uiPriority w:val="99"/>
    <w:semiHidden/>
    <w:rsid w:val="00EC1782"/>
    <w:rPr>
      <w:sz w:val="24"/>
      <w:szCs w:val="24"/>
    </w:rPr>
  </w:style>
  <w:style w:type="character" w:styleId="Hyperlink">
    <w:name w:val="Hyperlink"/>
    <w:basedOn w:val="DefaultParagraphFont"/>
    <w:unhideWhenUsed/>
    <w:rsid w:val="00681A1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1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2735</Characters>
  <Application>Microsoft Office Word</Application>
  <DocSecurity>4</DocSecurity>
  <Lines>68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SB01431 (Committee Report (Unamended))</vt:lpstr>
    </vt:vector>
  </TitlesOfParts>
  <Company>State of Texas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31573</dc:subject>
  <dc:creator>State of Texas</dc:creator>
  <dc:description>SB 1431 by Hinojosa-(H)State Affairs</dc:description>
  <cp:lastModifiedBy>Damian Duarte</cp:lastModifiedBy>
  <cp:revision>2</cp:revision>
  <cp:lastPrinted>2003-11-26T17:21:00Z</cp:lastPrinted>
  <dcterms:created xsi:type="dcterms:W3CDTF">2023-05-20T01:45:00Z</dcterms:created>
  <dcterms:modified xsi:type="dcterms:W3CDTF">2023-05-20T01:45:00Z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23.139.1808</vt:lpwstr>
  </property>
</Properties>
</file>