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54092" w14:paraId="45F5C5FA" w14:textId="77777777" w:rsidTr="00345119">
        <w:tc>
          <w:tcPr>
            <w:tcW w:w="9576" w:type="dxa"/>
            <w:noWrap/>
          </w:tcPr>
          <w:p w14:paraId="1EABF57F" w14:textId="77777777" w:rsidR="008423E4" w:rsidRPr="0022177D" w:rsidRDefault="008E6BB7" w:rsidP="00D87828">
            <w:pPr>
              <w:pStyle w:val="Heading1"/>
            </w:pPr>
            <w:r w:rsidRPr="00631897">
              <w:t>BILL ANALYSIS</w:t>
            </w:r>
          </w:p>
        </w:tc>
      </w:tr>
    </w:tbl>
    <w:p w14:paraId="00B8F48C" w14:textId="77777777" w:rsidR="008423E4" w:rsidRPr="0022177D" w:rsidRDefault="008423E4" w:rsidP="00D87828">
      <w:pPr>
        <w:jc w:val="center"/>
      </w:pPr>
    </w:p>
    <w:p w14:paraId="528A417A" w14:textId="77777777" w:rsidR="008423E4" w:rsidRPr="00B31F0E" w:rsidRDefault="008423E4" w:rsidP="00D87828"/>
    <w:p w14:paraId="1CFEBC04" w14:textId="77777777" w:rsidR="008423E4" w:rsidRPr="00742794" w:rsidRDefault="008423E4" w:rsidP="00D8782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4092" w14:paraId="03BB55E0" w14:textId="77777777" w:rsidTr="00345119">
        <w:tc>
          <w:tcPr>
            <w:tcW w:w="9576" w:type="dxa"/>
          </w:tcPr>
          <w:p w14:paraId="737FAA76" w14:textId="667B1058" w:rsidR="008423E4" w:rsidRPr="00861995" w:rsidRDefault="008E6BB7" w:rsidP="00D87828">
            <w:pPr>
              <w:jc w:val="right"/>
            </w:pPr>
            <w:r>
              <w:t>S.B. 1439</w:t>
            </w:r>
          </w:p>
        </w:tc>
      </w:tr>
      <w:tr w:rsidR="00C54092" w14:paraId="7F1077B1" w14:textId="77777777" w:rsidTr="00345119">
        <w:tc>
          <w:tcPr>
            <w:tcW w:w="9576" w:type="dxa"/>
          </w:tcPr>
          <w:p w14:paraId="44DA2028" w14:textId="1A2EF349" w:rsidR="008423E4" w:rsidRPr="00861995" w:rsidRDefault="008E6BB7" w:rsidP="00D87828">
            <w:pPr>
              <w:jc w:val="right"/>
            </w:pPr>
            <w:r>
              <w:t xml:space="preserve">By: </w:t>
            </w:r>
            <w:r w:rsidR="0003188B">
              <w:t>Springer</w:t>
            </w:r>
          </w:p>
        </w:tc>
      </w:tr>
      <w:tr w:rsidR="00C54092" w14:paraId="0C087987" w14:textId="77777777" w:rsidTr="00345119">
        <w:tc>
          <w:tcPr>
            <w:tcW w:w="9576" w:type="dxa"/>
          </w:tcPr>
          <w:p w14:paraId="35CCC759" w14:textId="1637FFE7" w:rsidR="008423E4" w:rsidRPr="00861995" w:rsidRDefault="008E6BB7" w:rsidP="00D87828">
            <w:pPr>
              <w:jc w:val="right"/>
            </w:pPr>
            <w:r>
              <w:t>Ways &amp; Means</w:t>
            </w:r>
          </w:p>
        </w:tc>
      </w:tr>
      <w:tr w:rsidR="00C54092" w14:paraId="5333A4D3" w14:textId="77777777" w:rsidTr="00345119">
        <w:tc>
          <w:tcPr>
            <w:tcW w:w="9576" w:type="dxa"/>
          </w:tcPr>
          <w:p w14:paraId="3C2ADB80" w14:textId="7D610639" w:rsidR="008423E4" w:rsidRDefault="008E6BB7" w:rsidP="00D87828">
            <w:pPr>
              <w:jc w:val="right"/>
            </w:pPr>
            <w:r>
              <w:t>Committee Report (Unamended)</w:t>
            </w:r>
          </w:p>
        </w:tc>
      </w:tr>
    </w:tbl>
    <w:p w14:paraId="7F471EFF" w14:textId="77777777" w:rsidR="008423E4" w:rsidRDefault="008423E4" w:rsidP="00D87828">
      <w:pPr>
        <w:tabs>
          <w:tab w:val="right" w:pos="9360"/>
        </w:tabs>
      </w:pPr>
    </w:p>
    <w:p w14:paraId="667D0F80" w14:textId="77777777" w:rsidR="008423E4" w:rsidRDefault="008423E4" w:rsidP="00D87828"/>
    <w:p w14:paraId="66C88CDF" w14:textId="77777777" w:rsidR="008423E4" w:rsidRDefault="008423E4" w:rsidP="00D8782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54092" w14:paraId="592530A7" w14:textId="77777777" w:rsidTr="00345119">
        <w:tc>
          <w:tcPr>
            <w:tcW w:w="9576" w:type="dxa"/>
          </w:tcPr>
          <w:p w14:paraId="36D12C04" w14:textId="77777777" w:rsidR="008423E4" w:rsidRPr="00A8133F" w:rsidRDefault="008E6BB7" w:rsidP="00D8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92699A" w14:textId="77777777" w:rsidR="008423E4" w:rsidRDefault="008423E4" w:rsidP="00D87828"/>
          <w:p w14:paraId="38E9EBBF" w14:textId="63A463E1" w:rsidR="008423E4" w:rsidRDefault="008E6BB7" w:rsidP="00D8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the </w:t>
            </w:r>
            <w:r w:rsidR="00F134C1">
              <w:t>87th L</w:t>
            </w:r>
            <w:r>
              <w:t xml:space="preserve">egislative </w:t>
            </w:r>
            <w:r w:rsidR="00F134C1">
              <w:t>S</w:t>
            </w:r>
            <w:r>
              <w:t xml:space="preserve">ession, the Texas Legislature </w:t>
            </w:r>
            <w:r w:rsidR="00705F28">
              <w:t>rai</w:t>
            </w:r>
            <w:r w:rsidR="00F134C1">
              <w:t xml:space="preserve">sed </w:t>
            </w:r>
            <w:r>
              <w:t>the tax</w:t>
            </w:r>
            <w:r w:rsidR="00F134C1">
              <w:t>able value threshold below which</w:t>
            </w:r>
            <w:r>
              <w:t xml:space="preserve"> business personal property </w:t>
            </w:r>
            <w:r w:rsidR="00292434">
              <w:t xml:space="preserve">is eligible for a property tax refund </w:t>
            </w:r>
            <w:r>
              <w:t>to $2,500. This has spurred businesses to open multiple LLCs under one physical business in order to take advantage of multiple $2,500 personal exemptions. This practice exploits the origina</w:t>
            </w:r>
            <w:r>
              <w:t xml:space="preserve">l legislation, which intended for each physical business to only get one $2,500 tax exemption. S.B. 1439 </w:t>
            </w:r>
            <w:r w:rsidR="00292434">
              <w:t>seeks to</w:t>
            </w:r>
            <w:r>
              <w:t xml:space="preserve"> close this loophole by requiring businesses to tie their personal property to a physical address </w:t>
            </w:r>
            <w:r w:rsidR="00292434">
              <w:t>for purposes of claiming an exemption from property taxation on</w:t>
            </w:r>
            <w:r>
              <w:t xml:space="preserve"> tangible personal property held or used for the production of income by related business entities.</w:t>
            </w:r>
          </w:p>
          <w:p w14:paraId="0105DE13" w14:textId="77777777" w:rsidR="008423E4" w:rsidRPr="00E26B13" w:rsidRDefault="008423E4" w:rsidP="00D87828">
            <w:pPr>
              <w:rPr>
                <w:b/>
              </w:rPr>
            </w:pPr>
          </w:p>
        </w:tc>
      </w:tr>
      <w:tr w:rsidR="00C54092" w14:paraId="0F973948" w14:textId="77777777" w:rsidTr="00345119">
        <w:tc>
          <w:tcPr>
            <w:tcW w:w="9576" w:type="dxa"/>
          </w:tcPr>
          <w:p w14:paraId="02C867E4" w14:textId="77777777" w:rsidR="0017725B" w:rsidRDefault="008E6BB7" w:rsidP="00D878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464003" w14:textId="77777777" w:rsidR="0017725B" w:rsidRDefault="0017725B" w:rsidP="00D87828">
            <w:pPr>
              <w:rPr>
                <w:b/>
                <w:u w:val="single"/>
              </w:rPr>
            </w:pPr>
          </w:p>
          <w:p w14:paraId="2B74B802" w14:textId="37C3DCD9" w:rsidR="00257FC0" w:rsidRPr="00257FC0" w:rsidRDefault="008E6BB7" w:rsidP="00D87828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14:paraId="43397DAD" w14:textId="77777777" w:rsidR="0017725B" w:rsidRPr="0017725B" w:rsidRDefault="0017725B" w:rsidP="00D87828">
            <w:pPr>
              <w:rPr>
                <w:b/>
                <w:u w:val="single"/>
              </w:rPr>
            </w:pPr>
          </w:p>
        </w:tc>
      </w:tr>
      <w:tr w:rsidR="00C54092" w14:paraId="2019CF0B" w14:textId="77777777" w:rsidTr="00345119">
        <w:tc>
          <w:tcPr>
            <w:tcW w:w="9576" w:type="dxa"/>
          </w:tcPr>
          <w:p w14:paraId="377D340E" w14:textId="77777777" w:rsidR="008423E4" w:rsidRPr="00A8133F" w:rsidRDefault="008E6BB7" w:rsidP="00D8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942E011" w14:textId="77777777" w:rsidR="008423E4" w:rsidRDefault="008423E4" w:rsidP="00D87828"/>
          <w:p w14:paraId="0BF2FE10" w14:textId="04096224" w:rsidR="00257FC0" w:rsidRDefault="008E6BB7" w:rsidP="00D8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14:paraId="4D5DBC9E" w14:textId="77777777" w:rsidR="008423E4" w:rsidRPr="00E21FDC" w:rsidRDefault="008423E4" w:rsidP="00D87828">
            <w:pPr>
              <w:rPr>
                <w:b/>
              </w:rPr>
            </w:pPr>
          </w:p>
        </w:tc>
      </w:tr>
      <w:tr w:rsidR="00C54092" w14:paraId="467CADB7" w14:textId="77777777" w:rsidTr="00345119">
        <w:tc>
          <w:tcPr>
            <w:tcW w:w="9576" w:type="dxa"/>
          </w:tcPr>
          <w:p w14:paraId="1928A414" w14:textId="77777777" w:rsidR="008423E4" w:rsidRPr="00A8133F" w:rsidRDefault="008E6BB7" w:rsidP="00D8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72B46E4" w14:textId="77777777" w:rsidR="008423E4" w:rsidRDefault="008423E4" w:rsidP="00D87828"/>
          <w:p w14:paraId="12E2F420" w14:textId="21D8789A" w:rsidR="00705071" w:rsidRDefault="008E6BB7" w:rsidP="00D87828">
            <w:pPr>
              <w:pStyle w:val="Header"/>
              <w:jc w:val="both"/>
            </w:pPr>
            <w:r>
              <w:t xml:space="preserve">S.B. 1439 amends the Tax Code to </w:t>
            </w:r>
            <w:r w:rsidR="0029274D">
              <w:t>revise the provisions providing</w:t>
            </w:r>
            <w:r w:rsidR="00257E10">
              <w:t xml:space="preserve"> a person</w:t>
            </w:r>
            <w:r w:rsidR="0029274D">
              <w:t xml:space="preserve"> an exemption </w:t>
            </w:r>
            <w:r w:rsidR="00257E10">
              <w:t>from</w:t>
            </w:r>
            <w:r w:rsidR="0029274D">
              <w:t xml:space="preserve"> tax</w:t>
            </w:r>
            <w:r w:rsidR="00257E10">
              <w:t>ation</w:t>
            </w:r>
            <w:r w:rsidR="0029274D">
              <w:t xml:space="preserve"> </w:t>
            </w:r>
            <w:r w:rsidR="00257E10">
              <w:t>of</w:t>
            </w:r>
            <w:r w:rsidR="0029274D">
              <w:t xml:space="preserve"> </w:t>
            </w:r>
            <w:r w:rsidR="0029274D" w:rsidRPr="0029274D">
              <w:t>income-producing tangible personal property value</w:t>
            </w:r>
            <w:r w:rsidR="00705F28">
              <w:t>d</w:t>
            </w:r>
            <w:r w:rsidR="0029274D" w:rsidRPr="0029274D">
              <w:t xml:space="preserve"> </w:t>
            </w:r>
            <w:r w:rsidR="00705F28">
              <w:t>at</w:t>
            </w:r>
            <w:r w:rsidR="00705F28" w:rsidRPr="0029274D">
              <w:t xml:space="preserve"> </w:t>
            </w:r>
            <w:r w:rsidR="0029274D" w:rsidRPr="0029274D">
              <w:t>less than $2,500</w:t>
            </w:r>
            <w:r>
              <w:t xml:space="preserve"> in the following manner:</w:t>
            </w:r>
            <w:r w:rsidR="00062E51">
              <w:t xml:space="preserve"> </w:t>
            </w:r>
          </w:p>
          <w:p w14:paraId="37F6C4D5" w14:textId="59356ACA" w:rsidR="00B9085A" w:rsidRDefault="008E6BB7" w:rsidP="00D87828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specifies that, </w:t>
            </w:r>
            <w:r w:rsidR="00062E51" w:rsidRPr="00062E51">
              <w:t xml:space="preserve">if the person is a related business entity, </w:t>
            </w:r>
            <w:r>
              <w:t xml:space="preserve">all property in a taxing unit that is owned by the person is </w:t>
            </w:r>
            <w:r w:rsidR="00062E51" w:rsidRPr="00062E51">
              <w:t>aggregate</w:t>
            </w:r>
            <w:r>
              <w:t>d</w:t>
            </w:r>
            <w:r w:rsidR="00062E51" w:rsidRPr="00062E51">
              <w:t xml:space="preserve"> with </w:t>
            </w:r>
            <w:r>
              <w:t xml:space="preserve">eligible </w:t>
            </w:r>
            <w:r w:rsidR="00062E51" w:rsidRPr="00062E51">
              <w:t>property that is owned by each other related business enterprise that composes the same unified business enterprise to determine taxable value for the entity</w:t>
            </w:r>
            <w:r>
              <w:t>;</w:t>
            </w:r>
            <w:r w:rsidR="00062E51">
              <w:t xml:space="preserve"> </w:t>
            </w:r>
            <w:r w:rsidR="000C64BD">
              <w:t>a</w:t>
            </w:r>
            <w:r>
              <w:t>nd</w:t>
            </w:r>
          </w:p>
          <w:p w14:paraId="624B786F" w14:textId="73D3339D" w:rsidR="009C36CD" w:rsidRDefault="008E6BB7" w:rsidP="00D87828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authorizes a chief appraiser to investigate a business entity to determine whether the entity is a related business entity and has aggregated</w:t>
            </w:r>
            <w:r>
              <w:t xml:space="preserve"> tangible personal property</w:t>
            </w:r>
            <w:r w:rsidR="00B9085A">
              <w:t xml:space="preserve"> in that manner</w:t>
            </w:r>
            <w:r>
              <w:t>.</w:t>
            </w:r>
          </w:p>
          <w:p w14:paraId="1A5D046B" w14:textId="5F62972D" w:rsidR="00B9085A" w:rsidRDefault="008E6BB7" w:rsidP="00D87828">
            <w:pPr>
              <w:pStyle w:val="Header"/>
              <w:jc w:val="both"/>
            </w:pPr>
            <w:r>
              <w:t xml:space="preserve">The bill defines "related business entity" as a business entity that </w:t>
            </w:r>
            <w:r w:rsidRPr="00B9085A">
              <w:t>engages in a common business enterprise with at least one other business entity</w:t>
            </w:r>
            <w:r w:rsidR="00CD7B01">
              <w:t xml:space="preserve"> and that</w:t>
            </w:r>
            <w:r>
              <w:t xml:space="preserve"> owns </w:t>
            </w:r>
            <w:r w:rsidR="00CD7B01" w:rsidRPr="00CD7B01">
              <w:t>tangible personal property that</w:t>
            </w:r>
            <w:r w:rsidR="00CD7B01">
              <w:t xml:space="preserve"> </w:t>
            </w:r>
            <w:r w:rsidR="00CD7B01" w:rsidRPr="00CD7B01">
              <w:t>is held or used for the production of income as part of the common business enterprise</w:t>
            </w:r>
            <w:r w:rsidR="00CD7B01">
              <w:t xml:space="preserve"> and </w:t>
            </w:r>
            <w:r w:rsidR="00CD7B01" w:rsidRPr="00CD7B01">
              <w:t>is located at the same physical address that tangible personal property owned by at least one other business entity engaged in the common business enterprise is located.</w:t>
            </w:r>
            <w:r w:rsidR="00CD7B01">
              <w:t xml:space="preserve"> The bill defines "unified business enterprise" as </w:t>
            </w:r>
            <w:r w:rsidR="00CD7B01" w:rsidRPr="00CD7B01">
              <w:t>a common business enterprise composed of more than one related business entity.</w:t>
            </w:r>
          </w:p>
          <w:p w14:paraId="5C759414" w14:textId="25BEB42F" w:rsidR="0029274D" w:rsidRDefault="0029274D" w:rsidP="00D8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919CAB7" w14:textId="00EA840E" w:rsidR="00A57337" w:rsidRDefault="008E6BB7" w:rsidP="00D8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1439 requires a rendition statement</w:t>
            </w:r>
            <w:r w:rsidR="003F15E6">
              <w:t xml:space="preserve"> </w:t>
            </w:r>
            <w:r w:rsidR="00165FA8">
              <w:t xml:space="preserve">regarding the income-producing tangible personal property </w:t>
            </w:r>
            <w:r w:rsidR="003F15E6">
              <w:t xml:space="preserve">of a related business entity to </w:t>
            </w:r>
            <w:r w:rsidR="003F15E6" w:rsidRPr="003F15E6">
              <w:t>contain the information required</w:t>
            </w:r>
            <w:r w:rsidR="003F15E6">
              <w:t xml:space="preserve"> </w:t>
            </w:r>
            <w:r w:rsidR="00165FA8">
              <w:t xml:space="preserve">with respect to the property </w:t>
            </w:r>
            <w:r w:rsidR="003F15E6">
              <w:t>a person</w:t>
            </w:r>
            <w:r w:rsidR="00165FA8">
              <w:t xml:space="preserve"> owns or manages and controls as a fiduciary or with respect to property which</w:t>
            </w:r>
            <w:r w:rsidR="00B35C3C">
              <w:t>,</w:t>
            </w:r>
            <w:r w:rsidR="00165FA8">
              <w:t xml:space="preserve"> </w:t>
            </w:r>
            <w:r w:rsidR="00B35C3C">
              <w:t xml:space="preserve">in </w:t>
            </w:r>
            <w:r w:rsidR="00165FA8">
              <w:t>the owner</w:t>
            </w:r>
            <w:r w:rsidR="00B35C3C">
              <w:t>'s opinion,</w:t>
            </w:r>
            <w:r w:rsidR="00165FA8">
              <w:t xml:space="preserve"> has an aggregate value of less than $20,000</w:t>
            </w:r>
            <w:r w:rsidR="003F15E6" w:rsidRPr="003F15E6">
              <w:t>, as applicable, stated for each related business entity that composes the unified business enterprise of which the related business entity that is the subject of the rendition is a part.</w:t>
            </w:r>
            <w:r>
              <w:t xml:space="preserve"> </w:t>
            </w:r>
            <w:r w:rsidR="00534595">
              <w:t>The bill changes</w:t>
            </w:r>
            <w:r w:rsidR="000C64BD">
              <w:t xml:space="preserve"> certain of</w:t>
            </w:r>
            <w:r w:rsidR="00534595">
              <w:t xml:space="preserve"> the information that must be contained </w:t>
            </w:r>
            <w:r w:rsidR="000C64BD">
              <w:t xml:space="preserve">in </w:t>
            </w:r>
            <w:r w:rsidR="00534595">
              <w:t xml:space="preserve">such rendition statements, regardless of whether the statements relate to a related business entity, from the property's physical location or taxable situs to the property's physical address or taxable situs. </w:t>
            </w:r>
            <w:r>
              <w:t>The bill requires e</w:t>
            </w:r>
            <w:r w:rsidRPr="00A57337">
              <w:t xml:space="preserve">ach </w:t>
            </w:r>
            <w:r w:rsidR="0020728B">
              <w:t xml:space="preserve">rendition and report </w:t>
            </w:r>
            <w:r>
              <w:t>form pre</w:t>
            </w:r>
            <w:r>
              <w:t>scribed by the comptroller</w:t>
            </w:r>
            <w:r w:rsidR="00534595">
              <w:t xml:space="preserve"> of public accounts</w:t>
            </w:r>
            <w:r>
              <w:t xml:space="preserve"> to </w:t>
            </w:r>
            <w:r w:rsidRPr="00A57337">
              <w:t>include a box that a related business entity</w:t>
            </w:r>
            <w:r w:rsidR="0020728B">
              <w:t xml:space="preserve"> property owner must </w:t>
            </w:r>
            <w:r w:rsidRPr="00A57337">
              <w:t>check to identify the owner as a related business entity.</w:t>
            </w:r>
          </w:p>
          <w:p w14:paraId="43C3E04E" w14:textId="77777777" w:rsidR="00A57337" w:rsidRDefault="00A57337" w:rsidP="00D8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DA4B7E6" w14:textId="71FEA34B" w:rsidR="003F15E6" w:rsidRPr="009C36CD" w:rsidRDefault="008E6BB7" w:rsidP="00D8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1439 </w:t>
            </w:r>
            <w:r w:rsidRPr="00A57337">
              <w:t>appl</w:t>
            </w:r>
            <w:r>
              <w:t>ies</w:t>
            </w:r>
            <w:r w:rsidRPr="00A57337">
              <w:t xml:space="preserve"> only to </w:t>
            </w:r>
            <w:r w:rsidR="00CD7B01">
              <w:t>a property</w:t>
            </w:r>
            <w:r w:rsidRPr="00A57337">
              <w:t xml:space="preserve"> tax year that begins on or after the </w:t>
            </w:r>
            <w:r w:rsidR="00CD7B01">
              <w:t xml:space="preserve">bill's </w:t>
            </w:r>
            <w:r w:rsidRPr="00A57337">
              <w:t>ef</w:t>
            </w:r>
            <w:r w:rsidRPr="00A57337">
              <w:t>fective date</w:t>
            </w:r>
            <w:r>
              <w:t>.</w:t>
            </w:r>
          </w:p>
          <w:p w14:paraId="045831D7" w14:textId="77777777" w:rsidR="008423E4" w:rsidRPr="00835628" w:rsidRDefault="008423E4" w:rsidP="00D87828">
            <w:pPr>
              <w:rPr>
                <w:b/>
              </w:rPr>
            </w:pPr>
          </w:p>
        </w:tc>
      </w:tr>
      <w:tr w:rsidR="00C54092" w14:paraId="7EBD3D61" w14:textId="77777777" w:rsidTr="00345119">
        <w:tc>
          <w:tcPr>
            <w:tcW w:w="9576" w:type="dxa"/>
          </w:tcPr>
          <w:p w14:paraId="3821308E" w14:textId="77777777" w:rsidR="008423E4" w:rsidRPr="00A8133F" w:rsidRDefault="008E6BB7" w:rsidP="00D8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C5080B7" w14:textId="77777777" w:rsidR="008423E4" w:rsidRDefault="008423E4" w:rsidP="00D87828"/>
          <w:p w14:paraId="6766D11B" w14:textId="072AA417" w:rsidR="008423E4" w:rsidRPr="003624F2" w:rsidRDefault="008E6BB7" w:rsidP="00D8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2024.</w:t>
            </w:r>
          </w:p>
          <w:p w14:paraId="6E70F6E9" w14:textId="77777777" w:rsidR="008423E4" w:rsidRPr="00233FDB" w:rsidRDefault="008423E4" w:rsidP="00D87828">
            <w:pPr>
              <w:rPr>
                <w:b/>
              </w:rPr>
            </w:pPr>
          </w:p>
        </w:tc>
      </w:tr>
    </w:tbl>
    <w:p w14:paraId="3CE8B271" w14:textId="77777777" w:rsidR="008423E4" w:rsidRPr="00BE0E75" w:rsidRDefault="008423E4" w:rsidP="00D87828">
      <w:pPr>
        <w:jc w:val="both"/>
        <w:rPr>
          <w:rFonts w:ascii="Arial" w:hAnsi="Arial"/>
          <w:sz w:val="16"/>
          <w:szCs w:val="16"/>
        </w:rPr>
      </w:pPr>
    </w:p>
    <w:p w14:paraId="46126ACC" w14:textId="77777777" w:rsidR="004108C3" w:rsidRPr="008423E4" w:rsidRDefault="004108C3" w:rsidP="00D8782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9C2B" w14:textId="77777777" w:rsidR="00000000" w:rsidRDefault="008E6BB7">
      <w:r>
        <w:separator/>
      </w:r>
    </w:p>
  </w:endnote>
  <w:endnote w:type="continuationSeparator" w:id="0">
    <w:p w14:paraId="7D2D8833" w14:textId="77777777" w:rsidR="00000000" w:rsidRDefault="008E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E161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4092" w14:paraId="551CF98B" w14:textId="77777777" w:rsidTr="009C1E9A">
      <w:trPr>
        <w:cantSplit/>
      </w:trPr>
      <w:tc>
        <w:tcPr>
          <w:tcW w:w="0" w:type="pct"/>
        </w:tcPr>
        <w:p w14:paraId="10B8F9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4F35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B1CC1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F089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E303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4092" w14:paraId="151FEA2F" w14:textId="77777777" w:rsidTr="009C1E9A">
      <w:trPr>
        <w:cantSplit/>
      </w:trPr>
      <w:tc>
        <w:tcPr>
          <w:tcW w:w="0" w:type="pct"/>
        </w:tcPr>
        <w:p w14:paraId="539E34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480EAF" w14:textId="50CB5E7E" w:rsidR="00EC379B" w:rsidRPr="009C1E9A" w:rsidRDefault="008E6B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29172-D</w:t>
          </w:r>
        </w:p>
      </w:tc>
      <w:tc>
        <w:tcPr>
          <w:tcW w:w="2453" w:type="pct"/>
        </w:tcPr>
        <w:p w14:paraId="226844B0" w14:textId="05F594A8" w:rsidR="00EC379B" w:rsidRDefault="008E6B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87828">
            <w:t>23.129.924</w:t>
          </w:r>
          <w:r>
            <w:fldChar w:fldCharType="end"/>
          </w:r>
        </w:p>
      </w:tc>
    </w:tr>
    <w:tr w:rsidR="00C54092" w14:paraId="6F9EAEB9" w14:textId="77777777" w:rsidTr="009C1E9A">
      <w:trPr>
        <w:cantSplit/>
      </w:trPr>
      <w:tc>
        <w:tcPr>
          <w:tcW w:w="0" w:type="pct"/>
        </w:tcPr>
        <w:p w14:paraId="0467C32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B74E5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2464EC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481D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4092" w14:paraId="5986002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5A1E944" w14:textId="77777777" w:rsidR="00EC379B" w:rsidRDefault="008E6B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F7EAB8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C0A9E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745A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992B" w14:textId="77777777" w:rsidR="00000000" w:rsidRDefault="008E6BB7">
      <w:r>
        <w:separator/>
      </w:r>
    </w:p>
  </w:footnote>
  <w:footnote w:type="continuationSeparator" w:id="0">
    <w:p w14:paraId="3D60BA84" w14:textId="77777777" w:rsidR="00000000" w:rsidRDefault="008E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49B0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7314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1E41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1A9"/>
    <w:multiLevelType w:val="hybridMultilevel"/>
    <w:tmpl w:val="C5F017B2"/>
    <w:lvl w:ilvl="0" w:tplc="82CC4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76A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63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C7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6A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E8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29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E8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00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2706"/>
    <w:multiLevelType w:val="hybridMultilevel"/>
    <w:tmpl w:val="86CE096A"/>
    <w:lvl w:ilvl="0" w:tplc="BDFE3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46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28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0E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23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C9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C6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84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0C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07585"/>
    <w:multiLevelType w:val="hybridMultilevel"/>
    <w:tmpl w:val="7E621034"/>
    <w:lvl w:ilvl="0" w:tplc="AEE2A510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0540B3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B26ED112" w:tentative="1">
      <w:start w:val="1"/>
      <w:numFmt w:val="lowerRoman"/>
      <w:lvlText w:val="%3."/>
      <w:lvlJc w:val="right"/>
      <w:pPr>
        <w:ind w:left="2160" w:hanging="180"/>
      </w:pPr>
    </w:lvl>
    <w:lvl w:ilvl="3" w:tplc="39A87580" w:tentative="1">
      <w:start w:val="1"/>
      <w:numFmt w:val="decimal"/>
      <w:lvlText w:val="%4."/>
      <w:lvlJc w:val="left"/>
      <w:pPr>
        <w:ind w:left="2880" w:hanging="360"/>
      </w:pPr>
    </w:lvl>
    <w:lvl w:ilvl="4" w:tplc="414EDDF2" w:tentative="1">
      <w:start w:val="1"/>
      <w:numFmt w:val="lowerLetter"/>
      <w:lvlText w:val="%5."/>
      <w:lvlJc w:val="left"/>
      <w:pPr>
        <w:ind w:left="3600" w:hanging="360"/>
      </w:pPr>
    </w:lvl>
    <w:lvl w:ilvl="5" w:tplc="33B076FC" w:tentative="1">
      <w:start w:val="1"/>
      <w:numFmt w:val="lowerRoman"/>
      <w:lvlText w:val="%6."/>
      <w:lvlJc w:val="right"/>
      <w:pPr>
        <w:ind w:left="4320" w:hanging="180"/>
      </w:pPr>
    </w:lvl>
    <w:lvl w:ilvl="6" w:tplc="0A48CF7E" w:tentative="1">
      <w:start w:val="1"/>
      <w:numFmt w:val="decimal"/>
      <w:lvlText w:val="%7."/>
      <w:lvlJc w:val="left"/>
      <w:pPr>
        <w:ind w:left="5040" w:hanging="360"/>
      </w:pPr>
    </w:lvl>
    <w:lvl w:ilvl="7" w:tplc="C15C9DC0" w:tentative="1">
      <w:start w:val="1"/>
      <w:numFmt w:val="lowerLetter"/>
      <w:lvlText w:val="%8."/>
      <w:lvlJc w:val="left"/>
      <w:pPr>
        <w:ind w:left="5760" w:hanging="360"/>
      </w:pPr>
    </w:lvl>
    <w:lvl w:ilvl="8" w:tplc="5BFC52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6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88B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2E51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4B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FA8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28B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E10"/>
    <w:rsid w:val="00257FC0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434"/>
    <w:rsid w:val="0029274D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10B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49B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5E6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C2F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595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7709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E8E"/>
    <w:rsid w:val="005F4862"/>
    <w:rsid w:val="005F4C60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071"/>
    <w:rsid w:val="00705276"/>
    <w:rsid w:val="00705F28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2143"/>
    <w:rsid w:val="008E3338"/>
    <w:rsid w:val="008E47BE"/>
    <w:rsid w:val="008E6BB7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337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54F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C3C"/>
    <w:rsid w:val="00B43672"/>
    <w:rsid w:val="00B473D8"/>
    <w:rsid w:val="00B5165A"/>
    <w:rsid w:val="00B524C1"/>
    <w:rsid w:val="00B52C8D"/>
    <w:rsid w:val="00B564BF"/>
    <w:rsid w:val="00B56DD1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85A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B7D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1D5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092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B01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71C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462F7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828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561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4C1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1C74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799DB1-0080-47C7-9466-59F808B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2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2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2E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2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2E51"/>
    <w:rPr>
      <w:b/>
      <w:bCs/>
    </w:rPr>
  </w:style>
  <w:style w:type="paragraph" w:styleId="Revision">
    <w:name w:val="Revision"/>
    <w:hidden/>
    <w:uiPriority w:val="99"/>
    <w:semiHidden/>
    <w:rsid w:val="00F134C1"/>
    <w:rPr>
      <w:sz w:val="24"/>
      <w:szCs w:val="24"/>
    </w:rPr>
  </w:style>
  <w:style w:type="character" w:styleId="Hyperlink">
    <w:name w:val="Hyperlink"/>
    <w:basedOn w:val="DefaultParagraphFont"/>
    <w:unhideWhenUsed/>
    <w:rsid w:val="002924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3182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SB01439 (Committee Report (Unamended))</vt:lpstr>
    </vt:vector>
  </TitlesOfParts>
  <Company>State of Texas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29172</dc:subject>
  <dc:creator>State of Texas</dc:creator>
  <dc:description>SB 1439 by Springer-(H)Ways &amp; Means</dc:description>
  <cp:lastModifiedBy>Alan Gonzalez Otero</cp:lastModifiedBy>
  <cp:revision>2</cp:revision>
  <cp:lastPrinted>2003-11-26T17:21:00Z</cp:lastPrinted>
  <dcterms:created xsi:type="dcterms:W3CDTF">2023-05-10T19:54:00Z</dcterms:created>
  <dcterms:modified xsi:type="dcterms:W3CDTF">2023-05-10T19:54:00Z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23.129.924</vt:lpwstr>
  </property>
</Properties>
</file>