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F4D" w:rsidRDefault="00150F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AE26E1CEE744889027AEB29CADE72C"/>
          </w:placeholder>
        </w:sdtPr>
        <w:sdtContent>
          <w:r w:rsidRPr="005C2A78">
            <w:rPr>
              <w:rFonts w:cs="Times New Roman"/>
              <w:b/>
              <w:szCs w:val="24"/>
              <w:u w:val="single"/>
            </w:rPr>
            <w:t>BILL ANALYSIS</w:t>
          </w:r>
        </w:sdtContent>
      </w:sdt>
    </w:p>
    <w:p w:rsidR="00150F4D" w:rsidRPr="00585C31" w:rsidRDefault="00150F4D" w:rsidP="000F1DF9">
      <w:pPr>
        <w:spacing w:after="0" w:line="240" w:lineRule="auto"/>
        <w:rPr>
          <w:rFonts w:cs="Times New Roman"/>
          <w:szCs w:val="24"/>
        </w:rPr>
      </w:pPr>
    </w:p>
    <w:p w:rsidR="00150F4D" w:rsidRPr="00585C31" w:rsidRDefault="00150F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F4D" w:rsidTr="000F1DF9">
        <w:tc>
          <w:tcPr>
            <w:tcW w:w="2718" w:type="dxa"/>
          </w:tcPr>
          <w:p w:rsidR="00150F4D" w:rsidRPr="005C2A78" w:rsidRDefault="00150F4D" w:rsidP="006D756B">
            <w:pPr>
              <w:rPr>
                <w:rFonts w:cs="Times New Roman"/>
                <w:szCs w:val="24"/>
              </w:rPr>
            </w:pPr>
            <w:sdt>
              <w:sdtPr>
                <w:rPr>
                  <w:rFonts w:cs="Times New Roman"/>
                  <w:szCs w:val="24"/>
                </w:rPr>
                <w:alias w:val="Agency Title"/>
                <w:tag w:val="AgencyTitleContentControl"/>
                <w:id w:val="1920747753"/>
                <w:lock w:val="sdtContentLocked"/>
                <w:placeholder>
                  <w:docPart w:val="7DED186875234060BE0F04687AFF277C"/>
                </w:placeholder>
              </w:sdtPr>
              <w:sdtEndPr>
                <w:rPr>
                  <w:rFonts w:cstheme="minorBidi"/>
                  <w:szCs w:val="22"/>
                </w:rPr>
              </w:sdtEndPr>
              <w:sdtContent>
                <w:r>
                  <w:rPr>
                    <w:rFonts w:cs="Times New Roman"/>
                    <w:szCs w:val="24"/>
                  </w:rPr>
                  <w:t>Senate Research Center</w:t>
                </w:r>
              </w:sdtContent>
            </w:sdt>
          </w:p>
        </w:tc>
        <w:tc>
          <w:tcPr>
            <w:tcW w:w="6858" w:type="dxa"/>
          </w:tcPr>
          <w:p w:rsidR="00150F4D" w:rsidRPr="00FF6471" w:rsidRDefault="00150F4D" w:rsidP="000F1DF9">
            <w:pPr>
              <w:jc w:val="right"/>
              <w:rPr>
                <w:rFonts w:cs="Times New Roman"/>
                <w:szCs w:val="24"/>
              </w:rPr>
            </w:pPr>
            <w:sdt>
              <w:sdtPr>
                <w:rPr>
                  <w:rFonts w:cs="Times New Roman"/>
                  <w:szCs w:val="24"/>
                </w:rPr>
                <w:alias w:val="Bill Number"/>
                <w:tag w:val="BillNumberOne"/>
                <w:id w:val="-410784069"/>
                <w:lock w:val="sdtContentLocked"/>
                <w:placeholder>
                  <w:docPart w:val="C6183DFB58074491B03C89AAE33CD652"/>
                </w:placeholder>
              </w:sdtPr>
              <w:sdtContent>
                <w:r>
                  <w:rPr>
                    <w:rFonts w:cs="Times New Roman"/>
                    <w:szCs w:val="24"/>
                  </w:rPr>
                  <w:t>S.B. 1439</w:t>
                </w:r>
              </w:sdtContent>
            </w:sdt>
          </w:p>
        </w:tc>
      </w:tr>
      <w:tr w:rsidR="00150F4D" w:rsidTr="000F1DF9">
        <w:sdt>
          <w:sdtPr>
            <w:rPr>
              <w:rFonts w:cs="Times New Roman"/>
              <w:szCs w:val="24"/>
            </w:rPr>
            <w:alias w:val="TLCNumber"/>
            <w:tag w:val="TLCNumber"/>
            <w:id w:val="-542600604"/>
            <w:lock w:val="sdtLocked"/>
            <w:placeholder>
              <w:docPart w:val="C246378AFD874B6493D3E7DAB83E250F"/>
            </w:placeholder>
          </w:sdtPr>
          <w:sdtContent>
            <w:tc>
              <w:tcPr>
                <w:tcW w:w="2718" w:type="dxa"/>
              </w:tcPr>
              <w:p w:rsidR="00150F4D" w:rsidRPr="000F1DF9" w:rsidRDefault="00150F4D" w:rsidP="00C65088">
                <w:pPr>
                  <w:rPr>
                    <w:rFonts w:cs="Times New Roman"/>
                    <w:szCs w:val="24"/>
                  </w:rPr>
                </w:pPr>
                <w:r>
                  <w:rPr>
                    <w:rFonts w:cs="Times New Roman"/>
                    <w:szCs w:val="24"/>
                  </w:rPr>
                  <w:t>88R1923 TJB-D</w:t>
                </w:r>
              </w:p>
            </w:tc>
          </w:sdtContent>
        </w:sdt>
        <w:tc>
          <w:tcPr>
            <w:tcW w:w="6858" w:type="dxa"/>
          </w:tcPr>
          <w:p w:rsidR="00150F4D" w:rsidRPr="005C2A78" w:rsidRDefault="00150F4D" w:rsidP="00073EDD">
            <w:pPr>
              <w:jc w:val="right"/>
              <w:rPr>
                <w:rFonts w:cs="Times New Roman"/>
                <w:szCs w:val="24"/>
              </w:rPr>
            </w:pPr>
            <w:sdt>
              <w:sdtPr>
                <w:rPr>
                  <w:rFonts w:cs="Times New Roman"/>
                  <w:szCs w:val="24"/>
                </w:rPr>
                <w:alias w:val="Author Label"/>
                <w:tag w:val="By"/>
                <w:id w:val="72399597"/>
                <w:lock w:val="sdtLocked"/>
                <w:placeholder>
                  <w:docPart w:val="D405C2A9595744FD9EC3DCC9DEBD42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D2CBEE12394D369C2B0F98D392C066"/>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4DC1B954EE6E478AA916A07246B32863"/>
                </w:placeholder>
                <w:showingPlcHdr/>
              </w:sdtPr>
              <w:sdtContent/>
            </w:sdt>
            <w:sdt>
              <w:sdtPr>
                <w:rPr>
                  <w:rFonts w:cs="Times New Roman"/>
                  <w:szCs w:val="24"/>
                </w:rPr>
                <w:alias w:val="DualSponsor"/>
                <w:tag w:val="DualSponsor"/>
                <w:id w:val="1029379812"/>
                <w:lock w:val="sdtContentLocked"/>
                <w:placeholder>
                  <w:docPart w:val="2570510C82374049BE031F791E7E97DA"/>
                </w:placeholder>
                <w:showingPlcHdr/>
              </w:sdtPr>
              <w:sdtContent/>
            </w:sdt>
          </w:p>
        </w:tc>
      </w:tr>
      <w:tr w:rsidR="00150F4D" w:rsidTr="000F1DF9">
        <w:tc>
          <w:tcPr>
            <w:tcW w:w="2718" w:type="dxa"/>
          </w:tcPr>
          <w:p w:rsidR="00150F4D" w:rsidRPr="00BC7495" w:rsidRDefault="00150F4D" w:rsidP="000F1DF9">
            <w:pPr>
              <w:rPr>
                <w:rFonts w:cs="Times New Roman"/>
                <w:szCs w:val="24"/>
              </w:rPr>
            </w:pPr>
          </w:p>
        </w:tc>
        <w:sdt>
          <w:sdtPr>
            <w:rPr>
              <w:rFonts w:cs="Times New Roman"/>
              <w:szCs w:val="24"/>
            </w:rPr>
            <w:alias w:val="Committee"/>
            <w:tag w:val="Committee"/>
            <w:id w:val="1914272295"/>
            <w:lock w:val="sdtContentLocked"/>
            <w:placeholder>
              <w:docPart w:val="BC6CBA4A87C348E9886061797256122E"/>
            </w:placeholder>
          </w:sdtPr>
          <w:sdtContent>
            <w:tc>
              <w:tcPr>
                <w:tcW w:w="6858" w:type="dxa"/>
              </w:tcPr>
              <w:p w:rsidR="00150F4D" w:rsidRPr="00FF6471" w:rsidRDefault="00150F4D" w:rsidP="000F1DF9">
                <w:pPr>
                  <w:jc w:val="right"/>
                  <w:rPr>
                    <w:rFonts w:cs="Times New Roman"/>
                    <w:szCs w:val="24"/>
                  </w:rPr>
                </w:pPr>
                <w:r>
                  <w:rPr>
                    <w:rFonts w:cs="Times New Roman"/>
                    <w:szCs w:val="24"/>
                  </w:rPr>
                  <w:t>Local Government</w:t>
                </w:r>
              </w:p>
            </w:tc>
          </w:sdtContent>
        </w:sdt>
      </w:tr>
      <w:tr w:rsidR="00150F4D" w:rsidTr="000F1DF9">
        <w:tc>
          <w:tcPr>
            <w:tcW w:w="2718" w:type="dxa"/>
          </w:tcPr>
          <w:p w:rsidR="00150F4D" w:rsidRPr="00BC7495" w:rsidRDefault="00150F4D" w:rsidP="000F1DF9">
            <w:pPr>
              <w:rPr>
                <w:rFonts w:cs="Times New Roman"/>
                <w:szCs w:val="24"/>
              </w:rPr>
            </w:pPr>
          </w:p>
        </w:tc>
        <w:sdt>
          <w:sdtPr>
            <w:rPr>
              <w:rFonts w:cs="Times New Roman"/>
              <w:szCs w:val="24"/>
            </w:rPr>
            <w:alias w:val="Date"/>
            <w:tag w:val="DateContentControl"/>
            <w:id w:val="1178081906"/>
            <w:lock w:val="sdtLocked"/>
            <w:placeholder>
              <w:docPart w:val="BA4B6CDA88E645C9B80990235506C9C5"/>
            </w:placeholder>
            <w:date w:fullDate="2023-03-24T00:00:00Z">
              <w:dateFormat w:val="M/d/yyyy"/>
              <w:lid w:val="en-US"/>
              <w:storeMappedDataAs w:val="dateTime"/>
              <w:calendar w:val="gregorian"/>
            </w:date>
          </w:sdtPr>
          <w:sdtContent>
            <w:tc>
              <w:tcPr>
                <w:tcW w:w="6858" w:type="dxa"/>
              </w:tcPr>
              <w:p w:rsidR="00150F4D" w:rsidRPr="00FF6471" w:rsidRDefault="00150F4D" w:rsidP="000F1DF9">
                <w:pPr>
                  <w:jc w:val="right"/>
                  <w:rPr>
                    <w:rFonts w:cs="Times New Roman"/>
                    <w:szCs w:val="24"/>
                  </w:rPr>
                </w:pPr>
                <w:r>
                  <w:rPr>
                    <w:rFonts w:cs="Times New Roman"/>
                    <w:szCs w:val="24"/>
                  </w:rPr>
                  <w:t>3/24/2023</w:t>
                </w:r>
              </w:p>
            </w:tc>
          </w:sdtContent>
        </w:sdt>
      </w:tr>
      <w:tr w:rsidR="00150F4D" w:rsidTr="000F1DF9">
        <w:tc>
          <w:tcPr>
            <w:tcW w:w="2718" w:type="dxa"/>
          </w:tcPr>
          <w:p w:rsidR="00150F4D" w:rsidRPr="00BC7495" w:rsidRDefault="00150F4D" w:rsidP="000F1DF9">
            <w:pPr>
              <w:rPr>
                <w:rFonts w:cs="Times New Roman"/>
                <w:szCs w:val="24"/>
              </w:rPr>
            </w:pPr>
          </w:p>
        </w:tc>
        <w:sdt>
          <w:sdtPr>
            <w:rPr>
              <w:rFonts w:cs="Times New Roman"/>
              <w:szCs w:val="24"/>
            </w:rPr>
            <w:alias w:val="BA Version"/>
            <w:tag w:val="BAVersion"/>
            <w:id w:val="-1685590809"/>
            <w:lock w:val="sdtContentLocked"/>
            <w:placeholder>
              <w:docPart w:val="829A8521997B4DEAA8B84C350D886927"/>
            </w:placeholder>
          </w:sdtPr>
          <w:sdtContent>
            <w:tc>
              <w:tcPr>
                <w:tcW w:w="6858" w:type="dxa"/>
              </w:tcPr>
              <w:p w:rsidR="00150F4D" w:rsidRPr="00FF6471" w:rsidRDefault="00150F4D" w:rsidP="000F1DF9">
                <w:pPr>
                  <w:jc w:val="right"/>
                  <w:rPr>
                    <w:rFonts w:cs="Times New Roman"/>
                    <w:szCs w:val="24"/>
                  </w:rPr>
                </w:pPr>
                <w:r>
                  <w:rPr>
                    <w:rFonts w:cs="Times New Roman"/>
                    <w:szCs w:val="24"/>
                  </w:rPr>
                  <w:t>As Filed</w:t>
                </w:r>
              </w:p>
            </w:tc>
          </w:sdtContent>
        </w:sdt>
      </w:tr>
    </w:tbl>
    <w:p w:rsidR="00150F4D" w:rsidRPr="00FF6471" w:rsidRDefault="00150F4D" w:rsidP="000F1DF9">
      <w:pPr>
        <w:spacing w:after="0" w:line="240" w:lineRule="auto"/>
        <w:rPr>
          <w:rFonts w:cs="Times New Roman"/>
          <w:szCs w:val="24"/>
        </w:rPr>
      </w:pPr>
    </w:p>
    <w:p w:rsidR="00150F4D" w:rsidRPr="00FF6471" w:rsidRDefault="00150F4D" w:rsidP="000F1DF9">
      <w:pPr>
        <w:spacing w:after="0" w:line="240" w:lineRule="auto"/>
        <w:rPr>
          <w:rFonts w:cs="Times New Roman"/>
          <w:szCs w:val="24"/>
        </w:rPr>
      </w:pPr>
    </w:p>
    <w:p w:rsidR="00150F4D" w:rsidRPr="00FF6471" w:rsidRDefault="00150F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A6CEBB12F84C2BADA4593253E5030F"/>
        </w:placeholder>
      </w:sdtPr>
      <w:sdtContent>
        <w:p w:rsidR="00150F4D" w:rsidRDefault="00150F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28DF04443F4D0AB3DB5DD63EBFAB9B"/>
        </w:placeholder>
      </w:sdtPr>
      <w:sdtContent>
        <w:p w:rsidR="00150F4D" w:rsidRDefault="00150F4D" w:rsidP="00BB26BA">
          <w:pPr>
            <w:pStyle w:val="NormalWeb"/>
            <w:spacing w:before="0" w:beforeAutospacing="0" w:after="0" w:afterAutospacing="0"/>
            <w:jc w:val="both"/>
            <w:divId w:val="638917621"/>
            <w:rPr>
              <w:rFonts w:eastAsia="Times New Roman"/>
              <w:bCs/>
            </w:rPr>
          </w:pPr>
        </w:p>
        <w:p w:rsidR="00150F4D" w:rsidRPr="00F91620" w:rsidRDefault="00150F4D" w:rsidP="00BB26BA">
          <w:pPr>
            <w:pStyle w:val="NormalWeb"/>
            <w:spacing w:before="0" w:beforeAutospacing="0" w:after="0" w:afterAutospacing="0"/>
            <w:jc w:val="both"/>
            <w:divId w:val="638917621"/>
          </w:pPr>
          <w:r w:rsidRPr="00F91620">
            <w:t xml:space="preserve">In the last legislative session, the Texas </w:t>
          </w:r>
          <w:r>
            <w:t>L</w:t>
          </w:r>
          <w:r w:rsidRPr="00F91620">
            <w:t>egislature raised the tax exemption limit for business personal property and mineral interests to $2,500. This has spurred businesses to open multiple LLCs under one physical business in order to take advantage of multiple $2,500 personal exemptions. This practice exploits the original legislation, which intended for each physical business to only get one $2,500 tax exemption.</w:t>
          </w:r>
          <w:r>
            <w:t xml:space="preserve"> S.B. 1439 </w:t>
          </w:r>
          <w:r w:rsidRPr="00F91620">
            <w:t>will close this loophole by requiring businesses to tie their personal property to a physical address lest they be subject to a de minimis presumption of $10,000. </w:t>
          </w:r>
        </w:p>
        <w:p w:rsidR="00150F4D" w:rsidRPr="00D70925" w:rsidRDefault="00150F4D" w:rsidP="00BB26BA">
          <w:pPr>
            <w:spacing w:after="0" w:line="240" w:lineRule="auto"/>
            <w:jc w:val="both"/>
            <w:rPr>
              <w:rFonts w:eastAsia="Times New Roman" w:cs="Times New Roman"/>
              <w:bCs/>
              <w:szCs w:val="24"/>
            </w:rPr>
          </w:pPr>
        </w:p>
      </w:sdtContent>
    </w:sdt>
    <w:p w:rsidR="00150F4D" w:rsidRDefault="00150F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1439 </w:t>
      </w:r>
      <w:bookmarkStart w:id="1" w:name="AmendsCurrentLaw"/>
      <w:bookmarkEnd w:id="1"/>
      <w:r>
        <w:rPr>
          <w:rFonts w:cs="Times New Roman"/>
          <w:szCs w:val="24"/>
        </w:rPr>
        <w:t>amends current law relating to the ad valorem taxation of tangible personal property held or used for the production of income by related business entities.</w:t>
      </w:r>
    </w:p>
    <w:p w:rsidR="00150F4D" w:rsidRPr="00F91620" w:rsidRDefault="00150F4D" w:rsidP="000F1DF9">
      <w:pPr>
        <w:spacing w:after="0" w:line="240" w:lineRule="auto"/>
        <w:jc w:val="both"/>
        <w:rPr>
          <w:rFonts w:eastAsia="Times New Roman" w:cs="Times New Roman"/>
          <w:szCs w:val="24"/>
        </w:rPr>
      </w:pPr>
    </w:p>
    <w:p w:rsidR="00150F4D" w:rsidRPr="005C2A78" w:rsidRDefault="00150F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98473229CC4E298AD222552088945B"/>
          </w:placeholder>
        </w:sdtPr>
        <w:sdtContent>
          <w:r>
            <w:rPr>
              <w:rFonts w:eastAsia="Times New Roman" w:cs="Times New Roman"/>
              <w:b/>
              <w:szCs w:val="24"/>
              <w:u w:val="single"/>
            </w:rPr>
            <w:t>RULEMAKING AUTHORITY</w:t>
          </w:r>
        </w:sdtContent>
      </w:sdt>
    </w:p>
    <w:p w:rsidR="00150F4D" w:rsidRPr="006529C4" w:rsidRDefault="00150F4D" w:rsidP="00774EC7">
      <w:pPr>
        <w:spacing w:after="0" w:line="240" w:lineRule="auto"/>
        <w:jc w:val="both"/>
        <w:rPr>
          <w:rFonts w:cs="Times New Roman"/>
          <w:szCs w:val="24"/>
        </w:rPr>
      </w:pPr>
    </w:p>
    <w:p w:rsidR="00150F4D" w:rsidRPr="006529C4" w:rsidRDefault="00150F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F4D" w:rsidRPr="006529C4" w:rsidRDefault="00150F4D" w:rsidP="00774EC7">
      <w:pPr>
        <w:spacing w:after="0" w:line="240" w:lineRule="auto"/>
        <w:jc w:val="both"/>
        <w:rPr>
          <w:rFonts w:cs="Times New Roman"/>
          <w:szCs w:val="24"/>
        </w:rPr>
      </w:pPr>
    </w:p>
    <w:p w:rsidR="00150F4D" w:rsidRPr="005C2A78" w:rsidRDefault="00150F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617A4D0FDF4EDF832E946A8A2F7CCA"/>
          </w:placeholder>
        </w:sdtPr>
        <w:sdtContent>
          <w:r>
            <w:rPr>
              <w:rFonts w:eastAsia="Times New Roman" w:cs="Times New Roman"/>
              <w:b/>
              <w:szCs w:val="24"/>
              <w:u w:val="single"/>
            </w:rPr>
            <w:t>SECTION BY SECTION ANALYSIS</w:t>
          </w:r>
        </w:sdtContent>
      </w:sdt>
    </w:p>
    <w:p w:rsidR="00150F4D" w:rsidRPr="005C2A78" w:rsidRDefault="00150F4D" w:rsidP="00BB26BA">
      <w:pPr>
        <w:spacing w:after="0" w:line="240" w:lineRule="auto"/>
        <w:jc w:val="both"/>
        <w:rPr>
          <w:rFonts w:eastAsia="Times New Roman" w:cs="Times New Roman"/>
          <w:szCs w:val="24"/>
        </w:rPr>
      </w:pPr>
    </w:p>
    <w:p w:rsidR="00150F4D" w:rsidRPr="0034340A" w:rsidRDefault="00150F4D" w:rsidP="00BB26BA">
      <w:pPr>
        <w:spacing w:after="0" w:line="240" w:lineRule="auto"/>
        <w:jc w:val="both"/>
      </w:pPr>
      <w:r w:rsidRPr="0034340A">
        <w:rPr>
          <w:rFonts w:eastAsia="Times New Roman" w:cs="Times New Roman"/>
          <w:szCs w:val="24"/>
        </w:rPr>
        <w:t xml:space="preserve">SECTION 1. Amends </w:t>
      </w:r>
      <w:r w:rsidRPr="0034340A">
        <w:t>Section 11.145, Tax Code, as follows:</w:t>
      </w:r>
    </w:p>
    <w:p w:rsidR="00150F4D" w:rsidRPr="0034340A" w:rsidRDefault="00150F4D" w:rsidP="00BB26BA">
      <w:pPr>
        <w:spacing w:after="0" w:line="240" w:lineRule="auto"/>
        <w:jc w:val="both"/>
      </w:pPr>
    </w:p>
    <w:p w:rsidR="00150F4D" w:rsidRPr="0034340A" w:rsidRDefault="00150F4D" w:rsidP="00BB26BA">
      <w:pPr>
        <w:tabs>
          <w:tab w:val="left" w:pos="941"/>
        </w:tabs>
        <w:spacing w:after="0" w:line="240" w:lineRule="auto"/>
        <w:ind w:left="720"/>
        <w:jc w:val="both"/>
      </w:pPr>
      <w:r w:rsidRPr="0034340A">
        <w:t xml:space="preserve">Sec. 11.145.  INCOME-PRODUCING TANGIBLE PERSONAL PROPERTY HAVING VALUE OF LESS THAN $2,500. (a) Defines "related business entity" </w:t>
      </w:r>
      <w:r>
        <w:t xml:space="preserve">and </w:t>
      </w:r>
      <w:r w:rsidRPr="0034340A">
        <w:t>"unified business enterprise</w:t>
      </w:r>
      <w:r>
        <w:t>.</w:t>
      </w:r>
      <w:r w:rsidRPr="0034340A">
        <w:t>"</w:t>
      </w:r>
    </w:p>
    <w:p w:rsidR="00150F4D" w:rsidRPr="0034340A" w:rsidRDefault="00150F4D" w:rsidP="00BB26BA">
      <w:pPr>
        <w:tabs>
          <w:tab w:val="left" w:pos="941"/>
        </w:tabs>
        <w:spacing w:after="0" w:line="240" w:lineRule="auto"/>
        <w:ind w:left="720"/>
        <w:jc w:val="both"/>
      </w:pPr>
    </w:p>
    <w:p w:rsidR="00150F4D" w:rsidRPr="0034340A" w:rsidRDefault="00150F4D" w:rsidP="00BB26BA">
      <w:pPr>
        <w:spacing w:after="0" w:line="240" w:lineRule="auto"/>
        <w:ind w:left="1440"/>
        <w:jc w:val="both"/>
      </w:pPr>
      <w:r w:rsidRPr="0034340A">
        <w:rPr>
          <w:rFonts w:eastAsia="Times New Roman" w:cs="Times New Roman"/>
          <w:szCs w:val="24"/>
        </w:rPr>
        <w:t>(b) Provides that</w:t>
      </w:r>
      <w:r>
        <w:rPr>
          <w:rFonts w:eastAsia="Times New Roman" w:cs="Times New Roman"/>
          <w:szCs w:val="24"/>
        </w:rPr>
        <w:t xml:space="preserve"> </w:t>
      </w:r>
      <w:r w:rsidRPr="0034340A">
        <w:t>subject to Subsection (d)</w:t>
      </w:r>
      <w:r>
        <w:t xml:space="preserve">, a person </w:t>
      </w:r>
      <w:r w:rsidRPr="0034340A">
        <w:t>is entitled to an exemption from taxation of the tangible personal property the person owns that is held or used for the production of income if that property has a taxable value of less than $2,500.</w:t>
      </w:r>
    </w:p>
    <w:p w:rsidR="00150F4D" w:rsidRPr="0034340A" w:rsidRDefault="00150F4D" w:rsidP="00BB26BA">
      <w:pPr>
        <w:spacing w:after="0" w:line="240" w:lineRule="auto"/>
        <w:ind w:left="1440"/>
        <w:jc w:val="both"/>
      </w:pPr>
    </w:p>
    <w:p w:rsidR="00150F4D" w:rsidRPr="0034340A" w:rsidRDefault="00150F4D" w:rsidP="00BB26BA">
      <w:pPr>
        <w:spacing w:after="0" w:line="240" w:lineRule="auto"/>
        <w:ind w:left="1440"/>
        <w:jc w:val="both"/>
      </w:pPr>
      <w:r w:rsidRPr="0034340A">
        <w:t>(c) Makes nonsubstantive changes to this subsection.</w:t>
      </w:r>
    </w:p>
    <w:p w:rsidR="00150F4D" w:rsidRPr="0034340A" w:rsidRDefault="00150F4D" w:rsidP="00BB26BA">
      <w:pPr>
        <w:spacing w:after="0" w:line="240" w:lineRule="auto"/>
        <w:ind w:left="1440"/>
        <w:jc w:val="both"/>
      </w:pPr>
    </w:p>
    <w:p w:rsidR="00150F4D" w:rsidRPr="0034340A" w:rsidRDefault="00150F4D" w:rsidP="00BB26BA">
      <w:pPr>
        <w:spacing w:after="0" w:line="240" w:lineRule="auto"/>
        <w:ind w:left="1440"/>
        <w:jc w:val="both"/>
      </w:pPr>
      <w:r w:rsidRPr="0034340A">
        <w:t>(d) Provides that</w:t>
      </w:r>
      <w:r>
        <w:t xml:space="preserve"> </w:t>
      </w:r>
      <w:r w:rsidRPr="0034340A">
        <w:t xml:space="preserve">all property described by </w:t>
      </w:r>
      <w:r>
        <w:t>S</w:t>
      </w:r>
      <w:r w:rsidRPr="0034340A">
        <w:t xml:space="preserve">ubsection </w:t>
      </w:r>
      <w:r>
        <w:t xml:space="preserve">(b) </w:t>
      </w:r>
      <w:r w:rsidRPr="0034340A">
        <w:t xml:space="preserve">in a taxing unit that is owned by a person, for the purpose of </w:t>
      </w:r>
      <w:r>
        <w:t>that s</w:t>
      </w:r>
      <w:r w:rsidRPr="0034340A">
        <w:t>ubsection, is:</w:t>
      </w:r>
    </w:p>
    <w:p w:rsidR="00150F4D" w:rsidRPr="0034340A" w:rsidRDefault="00150F4D" w:rsidP="00BB26BA">
      <w:pPr>
        <w:spacing w:after="0" w:line="240" w:lineRule="auto"/>
        <w:ind w:left="2160"/>
        <w:jc w:val="both"/>
      </w:pPr>
    </w:p>
    <w:p w:rsidR="00150F4D" w:rsidRPr="0034340A" w:rsidRDefault="00150F4D" w:rsidP="00BB26BA">
      <w:pPr>
        <w:spacing w:after="0" w:line="240" w:lineRule="auto"/>
        <w:ind w:left="2160"/>
        <w:jc w:val="both"/>
      </w:pPr>
      <w:r w:rsidRPr="0034340A">
        <w:t>(1) makes</w:t>
      </w:r>
      <w:r>
        <w:t xml:space="preserve"> </w:t>
      </w:r>
      <w:r w:rsidRPr="0034340A">
        <w:t>nonsubstantive change</w:t>
      </w:r>
      <w:r>
        <w:t>s</w:t>
      </w:r>
      <w:r w:rsidRPr="0034340A">
        <w:t xml:space="preserve"> to th</w:t>
      </w:r>
      <w:r>
        <w:t>is</w:t>
      </w:r>
      <w:r w:rsidRPr="0034340A">
        <w:t xml:space="preserve"> subdivision; and</w:t>
      </w:r>
    </w:p>
    <w:p w:rsidR="00150F4D" w:rsidRPr="0034340A" w:rsidRDefault="00150F4D" w:rsidP="00BB26BA">
      <w:pPr>
        <w:spacing w:after="0" w:line="240" w:lineRule="auto"/>
        <w:ind w:left="2160"/>
        <w:jc w:val="both"/>
      </w:pPr>
    </w:p>
    <w:p w:rsidR="00150F4D" w:rsidRDefault="00150F4D" w:rsidP="00BB26BA">
      <w:pPr>
        <w:spacing w:after="0" w:line="240" w:lineRule="auto"/>
        <w:ind w:left="2160"/>
        <w:jc w:val="both"/>
      </w:pPr>
      <w:r w:rsidRPr="0034340A">
        <w:t>(2) if the person is a related business entity, aggregated with the property described by that subsection in the taxing unit that is owned by each other related business enterprise that composes the same unified business enterprise to determine taxable value for the entity.</w:t>
      </w:r>
    </w:p>
    <w:p w:rsidR="00150F4D" w:rsidRDefault="00150F4D" w:rsidP="00BB26BA">
      <w:pPr>
        <w:spacing w:after="0" w:line="240" w:lineRule="auto"/>
        <w:ind w:left="2160"/>
        <w:jc w:val="both"/>
      </w:pPr>
    </w:p>
    <w:p w:rsidR="00150F4D" w:rsidRDefault="00150F4D" w:rsidP="00150F4D">
      <w:pPr>
        <w:spacing w:after="0" w:line="240" w:lineRule="auto"/>
        <w:ind w:left="1440"/>
        <w:jc w:val="both"/>
      </w:pPr>
      <w:r>
        <w:t>Makes nonsubstantive changes.</w:t>
      </w:r>
    </w:p>
    <w:p w:rsidR="00150F4D" w:rsidRPr="0034340A" w:rsidRDefault="00150F4D" w:rsidP="00BB26BA">
      <w:pPr>
        <w:spacing w:after="0" w:line="240" w:lineRule="auto"/>
        <w:ind w:left="2160"/>
        <w:jc w:val="both"/>
      </w:pPr>
    </w:p>
    <w:p w:rsidR="00150F4D" w:rsidRPr="0034340A" w:rsidRDefault="00150F4D" w:rsidP="00BB26BA">
      <w:pPr>
        <w:spacing w:after="0" w:line="240" w:lineRule="auto"/>
        <w:ind w:left="1440"/>
        <w:jc w:val="both"/>
      </w:pPr>
      <w:r w:rsidRPr="0034340A">
        <w:t>(e) Authorizes a chief appraiser to investigate a business entity to determine whether the entity:</w:t>
      </w:r>
    </w:p>
    <w:p w:rsidR="00150F4D" w:rsidRPr="0034340A" w:rsidRDefault="00150F4D" w:rsidP="00BB26BA">
      <w:pPr>
        <w:spacing w:after="0" w:line="240" w:lineRule="auto"/>
        <w:ind w:left="1440"/>
        <w:jc w:val="both"/>
      </w:pPr>
    </w:p>
    <w:p w:rsidR="00150F4D" w:rsidRPr="0034340A" w:rsidRDefault="00150F4D" w:rsidP="00BB26BA">
      <w:pPr>
        <w:spacing w:after="0" w:line="240" w:lineRule="auto"/>
        <w:ind w:left="720" w:firstLine="1440"/>
        <w:jc w:val="both"/>
      </w:pPr>
      <w:r w:rsidRPr="0034340A">
        <w:t>(1)  is a related business entity; and</w:t>
      </w:r>
    </w:p>
    <w:p w:rsidR="00150F4D" w:rsidRPr="0034340A" w:rsidRDefault="00150F4D" w:rsidP="00BB26BA">
      <w:pPr>
        <w:spacing w:after="0" w:line="240" w:lineRule="auto"/>
        <w:ind w:left="720" w:firstLine="1440"/>
        <w:jc w:val="both"/>
      </w:pPr>
    </w:p>
    <w:p w:rsidR="00150F4D" w:rsidRPr="0034340A" w:rsidRDefault="00150F4D" w:rsidP="00BB26BA">
      <w:pPr>
        <w:spacing w:after="0" w:line="240" w:lineRule="auto"/>
        <w:ind w:left="2160"/>
        <w:jc w:val="both"/>
      </w:pPr>
      <w:r w:rsidRPr="0034340A">
        <w:t>(2)  has aggregated tangible personal property as provided by Subsection (d)(2).</w:t>
      </w:r>
    </w:p>
    <w:p w:rsidR="00150F4D" w:rsidRPr="0034340A" w:rsidRDefault="00150F4D" w:rsidP="00BB26BA">
      <w:pPr>
        <w:spacing w:after="0" w:line="240" w:lineRule="auto"/>
        <w:ind w:left="2160"/>
        <w:jc w:val="both"/>
      </w:pPr>
    </w:p>
    <w:p w:rsidR="00150F4D" w:rsidRPr="0034340A" w:rsidRDefault="00150F4D" w:rsidP="00BB26BA">
      <w:pPr>
        <w:spacing w:after="0" w:line="240" w:lineRule="auto"/>
        <w:jc w:val="both"/>
      </w:pPr>
      <w:r w:rsidRPr="0034340A">
        <w:rPr>
          <w:rFonts w:eastAsia="Times New Roman" w:cs="Times New Roman"/>
          <w:szCs w:val="24"/>
        </w:rPr>
        <w:t xml:space="preserve">SECTION 2. Amends </w:t>
      </w:r>
      <w:r w:rsidRPr="0034340A">
        <w:t>Section 22.01, Tax Code, by amending Subsections (a), (c-1), and (f) and adding Subsection (n), as follows:</w:t>
      </w:r>
    </w:p>
    <w:p w:rsidR="00150F4D" w:rsidRPr="0034340A" w:rsidRDefault="00150F4D" w:rsidP="00BB26BA">
      <w:pPr>
        <w:spacing w:after="0" w:line="240" w:lineRule="auto"/>
        <w:ind w:left="720"/>
        <w:jc w:val="both"/>
        <w:rPr>
          <w:rFonts w:eastAsia="Times New Roman" w:cs="Times New Roman"/>
          <w:szCs w:val="24"/>
        </w:rPr>
      </w:pPr>
    </w:p>
    <w:p w:rsidR="00150F4D" w:rsidRPr="0034340A" w:rsidRDefault="00150F4D" w:rsidP="00BB26BA">
      <w:pPr>
        <w:spacing w:after="0" w:line="240" w:lineRule="auto"/>
        <w:ind w:left="720"/>
        <w:jc w:val="both"/>
      </w:pPr>
      <w:r w:rsidRPr="0034340A">
        <w:rPr>
          <w:rFonts w:eastAsia="Times New Roman" w:cs="Times New Roman"/>
          <w:szCs w:val="24"/>
        </w:rPr>
        <w:t xml:space="preserve">(a) </w:t>
      </w:r>
      <w:r w:rsidRPr="0034340A">
        <w:t>Requires that a rendition statement contain:</w:t>
      </w:r>
    </w:p>
    <w:p w:rsidR="00150F4D" w:rsidRPr="0034340A" w:rsidRDefault="00150F4D" w:rsidP="00BB26BA">
      <w:pPr>
        <w:spacing w:after="0" w:line="240" w:lineRule="auto"/>
        <w:ind w:left="720"/>
        <w:jc w:val="both"/>
      </w:pPr>
    </w:p>
    <w:p w:rsidR="00150F4D" w:rsidRDefault="00150F4D" w:rsidP="00150F4D">
      <w:pPr>
        <w:spacing w:after="0" w:line="240" w:lineRule="auto"/>
        <w:ind w:left="720" w:firstLine="720"/>
      </w:pPr>
      <w:r w:rsidRPr="0034340A">
        <w:t>(1)-(3) makes no changes to these sub</w:t>
      </w:r>
      <w:r>
        <w:t>divisions</w:t>
      </w:r>
      <w:r w:rsidRPr="0034340A">
        <w:t>;</w:t>
      </w:r>
    </w:p>
    <w:p w:rsidR="00150F4D" w:rsidRDefault="00150F4D" w:rsidP="00150F4D">
      <w:pPr>
        <w:spacing w:after="0" w:line="240" w:lineRule="auto"/>
        <w:jc w:val="both"/>
      </w:pPr>
    </w:p>
    <w:p w:rsidR="00150F4D" w:rsidRPr="0034340A" w:rsidRDefault="00150F4D" w:rsidP="00150F4D">
      <w:pPr>
        <w:spacing w:after="0" w:line="240" w:lineRule="auto"/>
        <w:ind w:left="1440"/>
        <w:jc w:val="both"/>
      </w:pPr>
      <w:r w:rsidRPr="0034340A">
        <w:t xml:space="preserve">(4) the physical address, rather than </w:t>
      </w:r>
      <w:r>
        <w:t xml:space="preserve">physical </w:t>
      </w:r>
      <w:r w:rsidRPr="0034340A">
        <w:t>location, or taxable situs of the</w:t>
      </w:r>
      <w:r>
        <w:t xml:space="preserve"> </w:t>
      </w:r>
      <w:r w:rsidRPr="0034340A">
        <w:t>property; and</w:t>
      </w:r>
    </w:p>
    <w:p w:rsidR="00150F4D" w:rsidRPr="0034340A" w:rsidRDefault="00150F4D" w:rsidP="00150F4D">
      <w:pPr>
        <w:spacing w:after="0" w:line="240" w:lineRule="auto"/>
        <w:ind w:firstLine="1440"/>
      </w:pPr>
    </w:p>
    <w:p w:rsidR="00150F4D" w:rsidRPr="0034340A" w:rsidRDefault="00150F4D" w:rsidP="00150F4D">
      <w:pPr>
        <w:spacing w:after="0" w:line="240" w:lineRule="auto"/>
        <w:ind w:firstLine="1440"/>
      </w:pPr>
      <w:r w:rsidRPr="0034340A">
        <w:t>(5) makes no changes to this subdivision</w:t>
      </w:r>
      <w:r>
        <w:t>.</w:t>
      </w:r>
    </w:p>
    <w:p w:rsidR="00150F4D" w:rsidRPr="0034340A" w:rsidRDefault="00150F4D" w:rsidP="00BB26BA">
      <w:pPr>
        <w:spacing w:after="0" w:line="240" w:lineRule="auto"/>
        <w:ind w:firstLine="1440"/>
        <w:jc w:val="both"/>
      </w:pPr>
    </w:p>
    <w:p w:rsidR="00150F4D" w:rsidRPr="0034340A" w:rsidRDefault="00150F4D" w:rsidP="00BB26BA">
      <w:pPr>
        <w:spacing w:after="0" w:line="240" w:lineRule="auto"/>
        <w:ind w:left="720"/>
        <w:jc w:val="both"/>
      </w:pPr>
      <w:r w:rsidRPr="0034340A">
        <w:t>(c-1) Defines "related business entity" and "unified business enterprise"</w:t>
      </w:r>
      <w:r>
        <w:t xml:space="preserve"> and </w:t>
      </w:r>
      <w:r w:rsidRPr="0034340A">
        <w:t>makes nonsubstantive changes</w:t>
      </w:r>
      <w:r>
        <w:t xml:space="preserve">. </w:t>
      </w:r>
    </w:p>
    <w:p w:rsidR="00150F4D" w:rsidRPr="0034340A" w:rsidRDefault="00150F4D" w:rsidP="00BB26BA">
      <w:pPr>
        <w:spacing w:after="0" w:line="240" w:lineRule="auto"/>
        <w:ind w:left="720"/>
        <w:jc w:val="both"/>
      </w:pPr>
    </w:p>
    <w:p w:rsidR="00150F4D" w:rsidRPr="0034340A" w:rsidRDefault="00150F4D" w:rsidP="00BB26BA">
      <w:pPr>
        <w:spacing w:after="0" w:line="240" w:lineRule="auto"/>
        <w:ind w:left="720"/>
        <w:jc w:val="both"/>
      </w:pPr>
      <w:r w:rsidRPr="0034340A">
        <w:t xml:space="preserve">(f) </w:t>
      </w:r>
      <w:r>
        <w:t xml:space="preserve">Requires </w:t>
      </w:r>
      <w:r w:rsidRPr="0034340A">
        <w:t>that</w:t>
      </w:r>
      <w:r>
        <w:t xml:space="preserve"> </w:t>
      </w:r>
      <w:r w:rsidRPr="0034340A">
        <w:t>a rendition statement of a person who owns tangible personal property used for the production of income located in the appraisal district that, in the owner's opinion, has an aggregate value of less than $20,000,</w:t>
      </w:r>
      <w:r>
        <w:t xml:space="preserve"> </w:t>
      </w:r>
      <w:r w:rsidRPr="0034340A">
        <w:t>notwithstanding Subsections (a) and (b)</w:t>
      </w:r>
      <w:r>
        <w:t xml:space="preserve"> (relating to requiring a person to render certain property when required by the chief appraiser)</w:t>
      </w:r>
      <w:r w:rsidRPr="0034340A">
        <w:t>, contain only:</w:t>
      </w:r>
    </w:p>
    <w:p w:rsidR="00150F4D" w:rsidRPr="0034340A" w:rsidRDefault="00150F4D" w:rsidP="00BB26BA">
      <w:pPr>
        <w:spacing w:after="0" w:line="240" w:lineRule="auto"/>
        <w:ind w:left="720"/>
        <w:jc w:val="both"/>
      </w:pPr>
    </w:p>
    <w:p w:rsidR="00150F4D" w:rsidRPr="0034340A" w:rsidRDefault="00150F4D" w:rsidP="00BB26BA">
      <w:pPr>
        <w:spacing w:after="0" w:line="240" w:lineRule="auto"/>
        <w:ind w:left="1440"/>
        <w:jc w:val="both"/>
      </w:pPr>
      <w:r w:rsidRPr="0034340A">
        <w:t>(1)-(2) makes no changes to these subdivisions; and</w:t>
      </w:r>
    </w:p>
    <w:p w:rsidR="00150F4D" w:rsidRPr="0034340A" w:rsidRDefault="00150F4D" w:rsidP="00BB26BA">
      <w:pPr>
        <w:spacing w:after="0" w:line="240" w:lineRule="auto"/>
        <w:ind w:left="1440"/>
        <w:jc w:val="both"/>
      </w:pPr>
    </w:p>
    <w:p w:rsidR="00150F4D" w:rsidRPr="0034340A" w:rsidRDefault="00150F4D" w:rsidP="00BB26BA">
      <w:pPr>
        <w:spacing w:after="0" w:line="240" w:lineRule="auto"/>
        <w:ind w:left="1440"/>
        <w:jc w:val="both"/>
      </w:pPr>
      <w:r w:rsidRPr="0034340A">
        <w:t>(3) makes a conforming change to this subdivision.</w:t>
      </w:r>
    </w:p>
    <w:p w:rsidR="00150F4D" w:rsidRPr="0034340A" w:rsidRDefault="00150F4D" w:rsidP="00BB26BA">
      <w:pPr>
        <w:spacing w:after="0" w:line="240" w:lineRule="auto"/>
        <w:ind w:left="1440"/>
        <w:jc w:val="both"/>
      </w:pPr>
    </w:p>
    <w:p w:rsidR="00150F4D" w:rsidRPr="0034340A" w:rsidRDefault="00150F4D" w:rsidP="00BB26BA">
      <w:pPr>
        <w:spacing w:after="0" w:line="240" w:lineRule="auto"/>
        <w:ind w:left="720"/>
        <w:jc w:val="both"/>
      </w:pPr>
      <w:r w:rsidRPr="0034340A">
        <w:t xml:space="preserve">(n) </w:t>
      </w:r>
      <w:r>
        <w:t xml:space="preserve">Requires </w:t>
      </w:r>
      <w:r w:rsidRPr="0034340A">
        <w:t>that a rendition statement of a related business entity contain the information required by Subsection (a) or (f), as applicable, stated for each related business entity that composes the unified business enterprise of which the related business entity that is the subject of the rendition is a part.</w:t>
      </w:r>
    </w:p>
    <w:p w:rsidR="00150F4D" w:rsidRPr="0034340A" w:rsidRDefault="00150F4D" w:rsidP="00BB26BA">
      <w:pPr>
        <w:spacing w:after="0" w:line="240" w:lineRule="auto"/>
        <w:ind w:left="720"/>
        <w:jc w:val="both"/>
      </w:pPr>
    </w:p>
    <w:p w:rsidR="00150F4D" w:rsidRPr="0034340A" w:rsidRDefault="00150F4D" w:rsidP="00BB26BA">
      <w:pPr>
        <w:spacing w:after="0" w:line="240" w:lineRule="auto"/>
        <w:jc w:val="both"/>
      </w:pPr>
      <w:r w:rsidRPr="0034340A">
        <w:rPr>
          <w:rFonts w:eastAsia="Times New Roman" w:cs="Times New Roman"/>
          <w:szCs w:val="24"/>
        </w:rPr>
        <w:t xml:space="preserve">SECTION 3. Amends </w:t>
      </w:r>
      <w:r w:rsidRPr="0034340A">
        <w:t>Section 22.24(c), Tax Code, as follows:</w:t>
      </w:r>
    </w:p>
    <w:p w:rsidR="00150F4D" w:rsidRPr="0034340A" w:rsidRDefault="00150F4D" w:rsidP="00BB26BA">
      <w:pPr>
        <w:spacing w:after="0" w:line="240" w:lineRule="auto"/>
        <w:jc w:val="both"/>
      </w:pPr>
    </w:p>
    <w:p w:rsidR="00150F4D" w:rsidRPr="0034340A" w:rsidRDefault="00150F4D" w:rsidP="00BB26BA">
      <w:pPr>
        <w:spacing w:after="0" w:line="240" w:lineRule="auto"/>
        <w:ind w:left="720"/>
        <w:jc w:val="both"/>
        <w:rPr>
          <w:rFonts w:eastAsia="Times New Roman" w:cs="Times New Roman"/>
          <w:szCs w:val="24"/>
        </w:rPr>
      </w:pPr>
      <w:r w:rsidRPr="0034340A">
        <w:t>(c) Requires that each form include a box that a property owner that is a related business entity, as defined by Section 11.145</w:t>
      </w:r>
      <w:r>
        <w:t xml:space="preserve"> (Income-Producing Tangible Personal Property Having Value of Less Than $2,500)</w:t>
      </w:r>
      <w:r w:rsidRPr="0034340A">
        <w:t xml:space="preserve">, </w:t>
      </w:r>
      <w:r>
        <w:t xml:space="preserve">is required to </w:t>
      </w:r>
      <w:r w:rsidRPr="0034340A">
        <w:t>check to identify the owner as a related business entity.</w:t>
      </w:r>
    </w:p>
    <w:p w:rsidR="00150F4D" w:rsidRPr="0034340A" w:rsidRDefault="00150F4D" w:rsidP="00BB26BA">
      <w:pPr>
        <w:spacing w:after="0" w:line="240" w:lineRule="auto"/>
        <w:jc w:val="both"/>
        <w:rPr>
          <w:rFonts w:eastAsia="Times New Roman" w:cs="Times New Roman"/>
          <w:szCs w:val="24"/>
        </w:rPr>
      </w:pPr>
    </w:p>
    <w:p w:rsidR="00150F4D" w:rsidRPr="0034340A" w:rsidRDefault="00150F4D" w:rsidP="00BB26BA">
      <w:pPr>
        <w:spacing w:after="0" w:line="240" w:lineRule="auto"/>
        <w:jc w:val="both"/>
      </w:pPr>
      <w:r w:rsidRPr="0034340A">
        <w:rPr>
          <w:rFonts w:eastAsia="Times New Roman" w:cs="Times New Roman"/>
          <w:szCs w:val="24"/>
        </w:rPr>
        <w:t xml:space="preserve">SECTION 4. Provides that </w:t>
      </w:r>
      <w:r w:rsidRPr="0034340A">
        <w:t>the changes in law made by this Act apply only to an ad valorem tax year that begins on or after the effective date of this Act.</w:t>
      </w:r>
    </w:p>
    <w:p w:rsidR="00150F4D" w:rsidRPr="0034340A" w:rsidRDefault="00150F4D" w:rsidP="00BB26BA">
      <w:pPr>
        <w:spacing w:after="0" w:line="240" w:lineRule="auto"/>
        <w:jc w:val="both"/>
      </w:pPr>
    </w:p>
    <w:p w:rsidR="00150F4D" w:rsidRPr="00C8671F" w:rsidRDefault="00150F4D" w:rsidP="00BB26BA">
      <w:pPr>
        <w:spacing w:after="0" w:line="240" w:lineRule="auto"/>
        <w:jc w:val="both"/>
        <w:rPr>
          <w:rFonts w:eastAsia="Times New Roman" w:cs="Times New Roman"/>
          <w:szCs w:val="24"/>
        </w:rPr>
      </w:pPr>
      <w:r w:rsidRPr="0034340A">
        <w:rPr>
          <w:rFonts w:eastAsia="Times New Roman" w:cs="Times New Roman"/>
          <w:szCs w:val="24"/>
        </w:rPr>
        <w:t>SECTION 5. Effective date: January 1, 2024.</w:t>
      </w:r>
      <w:r>
        <w:rPr>
          <w:rFonts w:eastAsia="Times New Roman" w:cs="Times New Roman"/>
          <w:szCs w:val="24"/>
        </w:rPr>
        <w:t xml:space="preserve"> </w:t>
      </w:r>
    </w:p>
    <w:sectPr w:rsidR="00150F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A99" w:rsidRDefault="00193A99" w:rsidP="000F1DF9">
      <w:pPr>
        <w:spacing w:after="0" w:line="240" w:lineRule="auto"/>
      </w:pPr>
      <w:r>
        <w:separator/>
      </w:r>
    </w:p>
  </w:endnote>
  <w:endnote w:type="continuationSeparator" w:id="0">
    <w:p w:rsidR="00193A99" w:rsidRDefault="00193A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3A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F4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0F4D">
                <w:rPr>
                  <w:sz w:val="20"/>
                  <w:szCs w:val="20"/>
                </w:rPr>
                <w:t>S.B. 1439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0F4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3A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A99" w:rsidRDefault="00193A99" w:rsidP="000F1DF9">
      <w:pPr>
        <w:spacing w:after="0" w:line="240" w:lineRule="auto"/>
      </w:pPr>
      <w:r>
        <w:separator/>
      </w:r>
    </w:p>
  </w:footnote>
  <w:footnote w:type="continuationSeparator" w:id="0">
    <w:p w:rsidR="00193A99" w:rsidRDefault="00193A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50F4D"/>
    <w:rsid w:val="00193A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7AD7"/>
  <w15:docId w15:val="{DE650CC9-8A37-45F1-95D0-3642C814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F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AE26E1CEE744889027AEB29CADE72C"/>
        <w:category>
          <w:name w:val="General"/>
          <w:gallery w:val="placeholder"/>
        </w:category>
        <w:types>
          <w:type w:val="bbPlcHdr"/>
        </w:types>
        <w:behaviors>
          <w:behavior w:val="content"/>
        </w:behaviors>
        <w:guid w:val="{ABB69434-C3D7-4D92-A9DE-D9A5B471ABD3}"/>
      </w:docPartPr>
      <w:docPartBody>
        <w:p w:rsidR="00000000" w:rsidRDefault="00026A13"/>
      </w:docPartBody>
    </w:docPart>
    <w:docPart>
      <w:docPartPr>
        <w:name w:val="7DED186875234060BE0F04687AFF277C"/>
        <w:category>
          <w:name w:val="General"/>
          <w:gallery w:val="placeholder"/>
        </w:category>
        <w:types>
          <w:type w:val="bbPlcHdr"/>
        </w:types>
        <w:behaviors>
          <w:behavior w:val="content"/>
        </w:behaviors>
        <w:guid w:val="{3E41B57D-49CD-4197-960F-1A2081493C76}"/>
      </w:docPartPr>
      <w:docPartBody>
        <w:p w:rsidR="00000000" w:rsidRDefault="00026A13"/>
      </w:docPartBody>
    </w:docPart>
    <w:docPart>
      <w:docPartPr>
        <w:name w:val="C6183DFB58074491B03C89AAE33CD652"/>
        <w:category>
          <w:name w:val="General"/>
          <w:gallery w:val="placeholder"/>
        </w:category>
        <w:types>
          <w:type w:val="bbPlcHdr"/>
        </w:types>
        <w:behaviors>
          <w:behavior w:val="content"/>
        </w:behaviors>
        <w:guid w:val="{8EE8AF46-BD91-4F53-B6C9-60BEB0BC0603}"/>
      </w:docPartPr>
      <w:docPartBody>
        <w:p w:rsidR="00000000" w:rsidRDefault="00026A13"/>
      </w:docPartBody>
    </w:docPart>
    <w:docPart>
      <w:docPartPr>
        <w:name w:val="C246378AFD874B6493D3E7DAB83E250F"/>
        <w:category>
          <w:name w:val="General"/>
          <w:gallery w:val="placeholder"/>
        </w:category>
        <w:types>
          <w:type w:val="bbPlcHdr"/>
        </w:types>
        <w:behaviors>
          <w:behavior w:val="content"/>
        </w:behaviors>
        <w:guid w:val="{FD3A8CBA-7587-4B2D-ACEB-01DD03A7CE03}"/>
      </w:docPartPr>
      <w:docPartBody>
        <w:p w:rsidR="00000000" w:rsidRDefault="00026A13"/>
      </w:docPartBody>
    </w:docPart>
    <w:docPart>
      <w:docPartPr>
        <w:name w:val="D405C2A9595744FD9EC3DCC9DEBD42C1"/>
        <w:category>
          <w:name w:val="General"/>
          <w:gallery w:val="placeholder"/>
        </w:category>
        <w:types>
          <w:type w:val="bbPlcHdr"/>
        </w:types>
        <w:behaviors>
          <w:behavior w:val="content"/>
        </w:behaviors>
        <w:guid w:val="{FC61BEB7-FD13-4DDE-8CA4-4415B96CD446}"/>
      </w:docPartPr>
      <w:docPartBody>
        <w:p w:rsidR="00000000" w:rsidRDefault="00026A13"/>
      </w:docPartBody>
    </w:docPart>
    <w:docPart>
      <w:docPartPr>
        <w:name w:val="C5D2CBEE12394D369C2B0F98D392C066"/>
        <w:category>
          <w:name w:val="General"/>
          <w:gallery w:val="placeholder"/>
        </w:category>
        <w:types>
          <w:type w:val="bbPlcHdr"/>
        </w:types>
        <w:behaviors>
          <w:behavior w:val="content"/>
        </w:behaviors>
        <w:guid w:val="{BAE1BBBE-91CA-4132-B896-47040A1A787D}"/>
      </w:docPartPr>
      <w:docPartBody>
        <w:p w:rsidR="00000000" w:rsidRDefault="00026A13"/>
      </w:docPartBody>
    </w:docPart>
    <w:docPart>
      <w:docPartPr>
        <w:name w:val="4DC1B954EE6E478AA916A07246B32863"/>
        <w:category>
          <w:name w:val="General"/>
          <w:gallery w:val="placeholder"/>
        </w:category>
        <w:types>
          <w:type w:val="bbPlcHdr"/>
        </w:types>
        <w:behaviors>
          <w:behavior w:val="content"/>
        </w:behaviors>
        <w:guid w:val="{A4515850-F0FD-4DAC-9DA2-921F792F438C}"/>
      </w:docPartPr>
      <w:docPartBody>
        <w:p w:rsidR="00000000" w:rsidRDefault="00026A13"/>
      </w:docPartBody>
    </w:docPart>
    <w:docPart>
      <w:docPartPr>
        <w:name w:val="2570510C82374049BE031F791E7E97DA"/>
        <w:category>
          <w:name w:val="General"/>
          <w:gallery w:val="placeholder"/>
        </w:category>
        <w:types>
          <w:type w:val="bbPlcHdr"/>
        </w:types>
        <w:behaviors>
          <w:behavior w:val="content"/>
        </w:behaviors>
        <w:guid w:val="{D240ACF5-775C-4839-BBA3-42DE12321E1D}"/>
      </w:docPartPr>
      <w:docPartBody>
        <w:p w:rsidR="00000000" w:rsidRDefault="00026A13"/>
      </w:docPartBody>
    </w:docPart>
    <w:docPart>
      <w:docPartPr>
        <w:name w:val="BC6CBA4A87C348E9886061797256122E"/>
        <w:category>
          <w:name w:val="General"/>
          <w:gallery w:val="placeholder"/>
        </w:category>
        <w:types>
          <w:type w:val="bbPlcHdr"/>
        </w:types>
        <w:behaviors>
          <w:behavior w:val="content"/>
        </w:behaviors>
        <w:guid w:val="{FBA27880-956B-4DA1-8840-04D6D795CB28}"/>
      </w:docPartPr>
      <w:docPartBody>
        <w:p w:rsidR="00000000" w:rsidRDefault="00026A13"/>
      </w:docPartBody>
    </w:docPart>
    <w:docPart>
      <w:docPartPr>
        <w:name w:val="BA4B6CDA88E645C9B80990235506C9C5"/>
        <w:category>
          <w:name w:val="General"/>
          <w:gallery w:val="placeholder"/>
        </w:category>
        <w:types>
          <w:type w:val="bbPlcHdr"/>
        </w:types>
        <w:behaviors>
          <w:behavior w:val="content"/>
        </w:behaviors>
        <w:guid w:val="{A8609080-E2CD-415B-B2AF-A76B551DA9EE}"/>
      </w:docPartPr>
      <w:docPartBody>
        <w:p w:rsidR="00000000" w:rsidRDefault="007F44F5" w:rsidP="007F44F5">
          <w:pPr>
            <w:pStyle w:val="BA4B6CDA88E645C9B80990235506C9C5"/>
          </w:pPr>
          <w:r w:rsidRPr="00A30DD1">
            <w:rPr>
              <w:rStyle w:val="PlaceholderText"/>
            </w:rPr>
            <w:t>Click here to enter a date.</w:t>
          </w:r>
        </w:p>
      </w:docPartBody>
    </w:docPart>
    <w:docPart>
      <w:docPartPr>
        <w:name w:val="829A8521997B4DEAA8B84C350D886927"/>
        <w:category>
          <w:name w:val="General"/>
          <w:gallery w:val="placeholder"/>
        </w:category>
        <w:types>
          <w:type w:val="bbPlcHdr"/>
        </w:types>
        <w:behaviors>
          <w:behavior w:val="content"/>
        </w:behaviors>
        <w:guid w:val="{24FDAE65-342A-46C8-BC29-8E65B5FA7E88}"/>
      </w:docPartPr>
      <w:docPartBody>
        <w:p w:rsidR="00000000" w:rsidRDefault="00026A13"/>
      </w:docPartBody>
    </w:docPart>
    <w:docPart>
      <w:docPartPr>
        <w:name w:val="05A6CEBB12F84C2BADA4593253E5030F"/>
        <w:category>
          <w:name w:val="General"/>
          <w:gallery w:val="placeholder"/>
        </w:category>
        <w:types>
          <w:type w:val="bbPlcHdr"/>
        </w:types>
        <w:behaviors>
          <w:behavior w:val="content"/>
        </w:behaviors>
        <w:guid w:val="{98D8F516-C65B-49D0-BFA0-D12852F64A91}"/>
      </w:docPartPr>
      <w:docPartBody>
        <w:p w:rsidR="00000000" w:rsidRDefault="00026A13"/>
      </w:docPartBody>
    </w:docPart>
    <w:docPart>
      <w:docPartPr>
        <w:name w:val="C128DF04443F4D0AB3DB5DD63EBFAB9B"/>
        <w:category>
          <w:name w:val="General"/>
          <w:gallery w:val="placeholder"/>
        </w:category>
        <w:types>
          <w:type w:val="bbPlcHdr"/>
        </w:types>
        <w:behaviors>
          <w:behavior w:val="content"/>
        </w:behaviors>
        <w:guid w:val="{9FB5E506-DBA5-468A-90F1-EF4772E5AFD8}"/>
      </w:docPartPr>
      <w:docPartBody>
        <w:p w:rsidR="00000000" w:rsidRDefault="007F44F5" w:rsidP="007F44F5">
          <w:pPr>
            <w:pStyle w:val="C128DF04443F4D0AB3DB5DD63EBFAB9B"/>
          </w:pPr>
          <w:r>
            <w:rPr>
              <w:rFonts w:eastAsia="Times New Roman" w:cs="Times New Roman"/>
              <w:bCs/>
              <w:szCs w:val="24"/>
            </w:rPr>
            <w:t xml:space="preserve"> </w:t>
          </w:r>
        </w:p>
      </w:docPartBody>
    </w:docPart>
    <w:docPart>
      <w:docPartPr>
        <w:name w:val="6898473229CC4E298AD222552088945B"/>
        <w:category>
          <w:name w:val="General"/>
          <w:gallery w:val="placeholder"/>
        </w:category>
        <w:types>
          <w:type w:val="bbPlcHdr"/>
        </w:types>
        <w:behaviors>
          <w:behavior w:val="content"/>
        </w:behaviors>
        <w:guid w:val="{0FF42AF4-1161-439D-803D-AAB65D6972EC}"/>
      </w:docPartPr>
      <w:docPartBody>
        <w:p w:rsidR="00000000" w:rsidRDefault="00026A13"/>
      </w:docPartBody>
    </w:docPart>
    <w:docPart>
      <w:docPartPr>
        <w:name w:val="83617A4D0FDF4EDF832E946A8A2F7CCA"/>
        <w:category>
          <w:name w:val="General"/>
          <w:gallery w:val="placeholder"/>
        </w:category>
        <w:types>
          <w:type w:val="bbPlcHdr"/>
        </w:types>
        <w:behaviors>
          <w:behavior w:val="content"/>
        </w:behaviors>
        <w:guid w:val="{CCB4E1E4-67FC-4853-9FA7-80D28EDDC1DB}"/>
      </w:docPartPr>
      <w:docPartBody>
        <w:p w:rsidR="00000000" w:rsidRDefault="00026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26A1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4F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F5"/>
    <w:rPr>
      <w:color w:val="808080"/>
    </w:rPr>
  </w:style>
  <w:style w:type="paragraph" w:customStyle="1" w:styleId="BA4B6CDA88E645C9B80990235506C9C5">
    <w:name w:val="BA4B6CDA88E645C9B80990235506C9C5"/>
    <w:rsid w:val="007F44F5"/>
    <w:pPr>
      <w:spacing w:after="160" w:line="259" w:lineRule="auto"/>
    </w:pPr>
  </w:style>
  <w:style w:type="paragraph" w:customStyle="1" w:styleId="C128DF04443F4D0AB3DB5DD63EBFAB9B">
    <w:name w:val="C128DF04443F4D0AB3DB5DD63EBFAB9B"/>
    <w:rsid w:val="007F44F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630</Words>
  <Characters>3596</Characters>
  <Application>Microsoft Office Word</Application>
  <DocSecurity>0</DocSecurity>
  <Lines>29</Lines>
  <Paragraphs>8</Paragraphs>
  <ScaleCrop>false</ScaleCrop>
  <Company>Texas Legislative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2023-03-25T15:37:00Z</cp:lastPrinted>
  <dcterms:created xsi:type="dcterms:W3CDTF">2015-05-29T14:24:00Z</dcterms:created>
  <dcterms:modified xsi:type="dcterms:W3CDTF">2023-03-25T15:37:00Z</dcterms:modified>
</cp:coreProperties>
</file>

<file path=docProps/custom.xml><?xml version="1.0" encoding="utf-8"?>
<op:Properties xmlns:vt="http://schemas.openxmlformats.org/officeDocument/2006/docPropsVTypes" xmlns:op="http://schemas.openxmlformats.org/officeDocument/2006/custom-properties"/>
</file>