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1AAE" w14:paraId="2FF361B1" w14:textId="77777777" w:rsidTr="00345119">
        <w:tc>
          <w:tcPr>
            <w:tcW w:w="9576" w:type="dxa"/>
            <w:noWrap/>
          </w:tcPr>
          <w:p w14:paraId="3627CD15" w14:textId="77777777" w:rsidR="008423E4" w:rsidRPr="0022177D" w:rsidRDefault="00532026" w:rsidP="00722269">
            <w:pPr>
              <w:pStyle w:val="Heading1"/>
            </w:pPr>
            <w:r w:rsidRPr="00631897">
              <w:t>BILL ANALYSIS</w:t>
            </w:r>
          </w:p>
        </w:tc>
      </w:tr>
    </w:tbl>
    <w:p w14:paraId="26F78C95" w14:textId="77777777" w:rsidR="008423E4" w:rsidRPr="0022177D" w:rsidRDefault="008423E4" w:rsidP="00722269">
      <w:pPr>
        <w:jc w:val="center"/>
      </w:pPr>
    </w:p>
    <w:p w14:paraId="01D8FC56" w14:textId="77777777" w:rsidR="008423E4" w:rsidRPr="00B31F0E" w:rsidRDefault="008423E4" w:rsidP="00722269"/>
    <w:p w14:paraId="7C55184D" w14:textId="77777777" w:rsidR="008423E4" w:rsidRPr="00742794" w:rsidRDefault="008423E4" w:rsidP="0072226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1AAE" w14:paraId="6E5B3F8A" w14:textId="77777777" w:rsidTr="00345119">
        <w:tc>
          <w:tcPr>
            <w:tcW w:w="9576" w:type="dxa"/>
          </w:tcPr>
          <w:p w14:paraId="6792307E" w14:textId="1EA1C94F" w:rsidR="008423E4" w:rsidRPr="00861995" w:rsidRDefault="00532026" w:rsidP="00722269">
            <w:pPr>
              <w:jc w:val="right"/>
            </w:pPr>
            <w:r>
              <w:t>C.S.S.B. 1467</w:t>
            </w:r>
          </w:p>
        </w:tc>
      </w:tr>
      <w:tr w:rsidR="00551AAE" w14:paraId="7AE9BB0E" w14:textId="77777777" w:rsidTr="00345119">
        <w:tc>
          <w:tcPr>
            <w:tcW w:w="9576" w:type="dxa"/>
          </w:tcPr>
          <w:p w14:paraId="3DA1954F" w14:textId="511753CD" w:rsidR="008423E4" w:rsidRPr="00861995" w:rsidRDefault="00532026" w:rsidP="00722269">
            <w:pPr>
              <w:jc w:val="right"/>
            </w:pPr>
            <w:r>
              <w:t xml:space="preserve">By: </w:t>
            </w:r>
            <w:r w:rsidR="003D295A">
              <w:t>Hancock</w:t>
            </w:r>
          </w:p>
        </w:tc>
      </w:tr>
      <w:tr w:rsidR="00551AAE" w14:paraId="448EDD2D" w14:textId="77777777" w:rsidTr="00345119">
        <w:tc>
          <w:tcPr>
            <w:tcW w:w="9576" w:type="dxa"/>
          </w:tcPr>
          <w:p w14:paraId="73BA1399" w14:textId="591421A7" w:rsidR="008423E4" w:rsidRPr="00861995" w:rsidRDefault="00532026" w:rsidP="00722269">
            <w:pPr>
              <w:jc w:val="right"/>
            </w:pPr>
            <w:r>
              <w:t>Public Health</w:t>
            </w:r>
          </w:p>
        </w:tc>
      </w:tr>
      <w:tr w:rsidR="00551AAE" w14:paraId="0ADA3752" w14:textId="77777777" w:rsidTr="00345119">
        <w:tc>
          <w:tcPr>
            <w:tcW w:w="9576" w:type="dxa"/>
          </w:tcPr>
          <w:p w14:paraId="37C7E648" w14:textId="799C38E3" w:rsidR="008423E4" w:rsidRDefault="00532026" w:rsidP="00722269">
            <w:pPr>
              <w:jc w:val="right"/>
            </w:pPr>
            <w:r>
              <w:t>Committee Report (Substituted)</w:t>
            </w:r>
          </w:p>
        </w:tc>
      </w:tr>
    </w:tbl>
    <w:p w14:paraId="7088EC20" w14:textId="77777777" w:rsidR="008423E4" w:rsidRDefault="008423E4" w:rsidP="00722269">
      <w:pPr>
        <w:tabs>
          <w:tab w:val="right" w:pos="9360"/>
        </w:tabs>
      </w:pPr>
    </w:p>
    <w:p w14:paraId="4FD76F53" w14:textId="77777777" w:rsidR="008423E4" w:rsidRDefault="008423E4" w:rsidP="00722269"/>
    <w:p w14:paraId="16D6ABFB" w14:textId="77777777" w:rsidR="008423E4" w:rsidRDefault="008423E4" w:rsidP="0072226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51AAE" w14:paraId="5FDE1971" w14:textId="77777777" w:rsidTr="00D7440F">
        <w:tc>
          <w:tcPr>
            <w:tcW w:w="9360" w:type="dxa"/>
          </w:tcPr>
          <w:p w14:paraId="44907415" w14:textId="77777777" w:rsidR="008423E4" w:rsidRPr="00A8133F" w:rsidRDefault="00532026" w:rsidP="007222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C2106F" w14:textId="77777777" w:rsidR="008423E4" w:rsidRDefault="008423E4" w:rsidP="00722269"/>
          <w:p w14:paraId="66803041" w14:textId="3EDB6277" w:rsidR="008423E4" w:rsidRDefault="00532026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947CC6" w:rsidRPr="00947CC6">
              <w:t>he federal 21st Century Cures Act</w:t>
            </w:r>
            <w:r>
              <w:t>, signed into law on December 13, 2016,</w:t>
            </w:r>
            <w:r w:rsidR="00947CC6" w:rsidRPr="00947CC6">
              <w:t xml:space="preserve"> changed the way physicians communicate with their patients when serious or even tragic test results are received. While patients deserve to receive test results as quickly as possible, this federal</w:t>
            </w:r>
            <w:r>
              <w:t xml:space="preserve"> law</w:t>
            </w:r>
            <w:r w:rsidR="00947CC6" w:rsidRPr="00947CC6">
              <w:t xml:space="preserve"> </w:t>
            </w:r>
            <w:r>
              <w:t>may</w:t>
            </w:r>
            <w:r w:rsidR="00947CC6" w:rsidRPr="00947CC6">
              <w:t xml:space="preserve"> prevent patients from receiving these serious results in a respectful way from their physicians.</w:t>
            </w:r>
            <w:r w:rsidR="00947CC6">
              <w:t xml:space="preserve"> P</w:t>
            </w:r>
            <w:r w:rsidR="00947CC6" w:rsidRPr="00947CC6">
              <w:t xml:space="preserve">atients who learn of cancer or other life-changing test results through impersonal electronic means, rather than from their physician, </w:t>
            </w:r>
            <w:r>
              <w:t>could</w:t>
            </w:r>
            <w:r w:rsidR="00947CC6" w:rsidRPr="00947CC6">
              <w:t xml:space="preserve"> experience heightened stress, anxiety, and uncertainty. In some cases, a patient's concerns may be based on their misunderstanding or misinterpretation of the test results and could have been avoided had the results been shared by the patient's physician. </w:t>
            </w:r>
            <w:r>
              <w:t>S</w:t>
            </w:r>
            <w:r w:rsidR="00947CC6" w:rsidRPr="00947CC6">
              <w:t xml:space="preserve">tates are allowed to remedy this scenario by adopting a law that requires the release of </w:t>
            </w:r>
            <w:r w:rsidR="00EE40EC">
              <w:t>electronic health information</w:t>
            </w:r>
            <w:r w:rsidR="00947CC6" w:rsidRPr="00947CC6">
              <w:t xml:space="preserve"> to be handled differently.</w:t>
            </w:r>
            <w:r w:rsidR="00947CC6">
              <w:t xml:space="preserve"> </w:t>
            </w:r>
            <w:r w:rsidR="00EE40EC">
              <w:t>C.S.S.B.</w:t>
            </w:r>
            <w:r w:rsidR="008B0C79">
              <w:t> </w:t>
            </w:r>
            <w:r w:rsidR="00EE40EC">
              <w:t>1467 seeks</w:t>
            </w:r>
            <w:r w:rsidR="00EE40EC" w:rsidRPr="00EE40EC">
              <w:t xml:space="preserve"> to pro</w:t>
            </w:r>
            <w:r w:rsidR="00EE40EC">
              <w:t>hibit</w:t>
            </w:r>
            <w:r w:rsidR="00EE40EC" w:rsidRPr="00EE40EC">
              <w:t xml:space="preserve"> sensitive test results </w:t>
            </w:r>
            <w:r w:rsidR="00EE40EC">
              <w:t>from</w:t>
            </w:r>
            <w:r w:rsidR="00EE40EC" w:rsidRPr="00EE40EC">
              <w:t xml:space="preserve"> be</w:t>
            </w:r>
            <w:r w:rsidR="00EE40EC">
              <w:t>ing</w:t>
            </w:r>
            <w:r w:rsidR="00EE40EC" w:rsidRPr="00EE40EC">
              <w:t xml:space="preserve"> disclosed to a patient or patient representative by electronic means </w:t>
            </w:r>
            <w:r w:rsidR="00EE40EC">
              <w:t xml:space="preserve">by a person or entity </w:t>
            </w:r>
            <w:r w:rsidR="00EE40EC" w:rsidRPr="00EE40EC">
              <w:t>who administer</w:t>
            </w:r>
            <w:r w:rsidR="00447125">
              <w:t>s</w:t>
            </w:r>
            <w:r w:rsidR="00EE40EC" w:rsidRPr="00EE40EC">
              <w:t xml:space="preserve"> or control</w:t>
            </w:r>
            <w:r w:rsidR="00447125">
              <w:t>s</w:t>
            </w:r>
            <w:r w:rsidR="00EE40EC" w:rsidRPr="00EE40EC">
              <w:t xml:space="preserve"> the patient's electronic health record until at least three days after th</w:t>
            </w:r>
            <w:r w:rsidR="00D945F3">
              <w:t>e</w:t>
            </w:r>
            <w:r w:rsidR="00EE40EC" w:rsidRPr="00EE40EC">
              <w:t xml:space="preserve"> sensitive test results are finalized</w:t>
            </w:r>
            <w:r w:rsidR="00447125">
              <w:t xml:space="preserve">. </w:t>
            </w:r>
            <w:r w:rsidR="00EE40EC" w:rsidRPr="00EE40EC">
              <w:t>This change does not prevent sensitive test results from being communicated to a patient or patient representative earlier by other means, such as by phone or in</w:t>
            </w:r>
            <w:r w:rsidR="00D7440F">
              <w:t xml:space="preserve"> </w:t>
            </w:r>
            <w:r w:rsidR="00EE40EC" w:rsidRPr="00EE40EC">
              <w:t>person.</w:t>
            </w:r>
          </w:p>
          <w:p w14:paraId="3B1CEDDD" w14:textId="042A515E" w:rsidR="00D7440F" w:rsidRPr="00E26B13" w:rsidRDefault="00D7440F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51AAE" w14:paraId="5A9C523E" w14:textId="77777777" w:rsidTr="00D7440F">
        <w:tc>
          <w:tcPr>
            <w:tcW w:w="9360" w:type="dxa"/>
          </w:tcPr>
          <w:p w14:paraId="6682DBF1" w14:textId="77777777" w:rsidR="0017725B" w:rsidRDefault="00532026" w:rsidP="007222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3C88DD" w14:textId="77777777" w:rsidR="0017725B" w:rsidRDefault="0017725B" w:rsidP="00722269">
            <w:pPr>
              <w:rPr>
                <w:b/>
                <w:u w:val="single"/>
              </w:rPr>
            </w:pPr>
          </w:p>
          <w:p w14:paraId="118C5B26" w14:textId="5091758E" w:rsidR="00F744AF" w:rsidRPr="00F744AF" w:rsidRDefault="00532026" w:rsidP="0072226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51418BC8" w14:textId="77777777" w:rsidR="0017725B" w:rsidRPr="0017725B" w:rsidRDefault="0017725B" w:rsidP="00722269">
            <w:pPr>
              <w:rPr>
                <w:b/>
                <w:u w:val="single"/>
              </w:rPr>
            </w:pPr>
          </w:p>
        </w:tc>
      </w:tr>
      <w:tr w:rsidR="00551AAE" w14:paraId="03430877" w14:textId="77777777" w:rsidTr="00D7440F">
        <w:tc>
          <w:tcPr>
            <w:tcW w:w="9360" w:type="dxa"/>
          </w:tcPr>
          <w:p w14:paraId="3A0C0584" w14:textId="77777777" w:rsidR="008423E4" w:rsidRPr="00A8133F" w:rsidRDefault="00532026" w:rsidP="007222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3C6F7E" w14:textId="77777777" w:rsidR="008423E4" w:rsidRDefault="008423E4" w:rsidP="00722269"/>
          <w:p w14:paraId="6F4D081A" w14:textId="793CD1EA" w:rsidR="00F744AF" w:rsidRDefault="00532026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18655A39" w14:textId="77777777" w:rsidR="008423E4" w:rsidRPr="00E21FDC" w:rsidRDefault="008423E4" w:rsidP="00722269">
            <w:pPr>
              <w:rPr>
                <w:b/>
              </w:rPr>
            </w:pPr>
          </w:p>
        </w:tc>
      </w:tr>
      <w:tr w:rsidR="00551AAE" w14:paraId="19895E83" w14:textId="77777777" w:rsidTr="00D7440F">
        <w:tc>
          <w:tcPr>
            <w:tcW w:w="9360" w:type="dxa"/>
          </w:tcPr>
          <w:p w14:paraId="3DA862D8" w14:textId="77777777" w:rsidR="008423E4" w:rsidRPr="00A8133F" w:rsidRDefault="00532026" w:rsidP="007222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E4D95A" w14:textId="77777777" w:rsidR="008423E4" w:rsidRDefault="008423E4" w:rsidP="00722269"/>
          <w:p w14:paraId="58418DAF" w14:textId="51FC4036" w:rsidR="006F0672" w:rsidRDefault="00532026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1467 amends the Occupations Code to prohibit sensitive test</w:t>
            </w:r>
            <w:r>
              <w:t xml:space="preserve"> results from being disclosed to a patient or patient representative by electronic means by a person or entity who administers or controls the electronic health record of the patient before the third day after the date the sensitive test results are finali</w:t>
            </w:r>
            <w:r>
              <w:t>zed.</w:t>
            </w:r>
            <w:r w:rsidR="00C77DE3">
              <w:t xml:space="preserve"> The bill requires a physician </w:t>
            </w:r>
            <w:r w:rsidR="00C518C0">
              <w:t xml:space="preserve">who </w:t>
            </w:r>
            <w:r w:rsidR="00F30028">
              <w:t xml:space="preserve">is required to </w:t>
            </w:r>
            <w:r w:rsidR="00C77DE3">
              <w:t>provid</w:t>
            </w:r>
            <w:r w:rsidR="00F30028">
              <w:t>e</w:t>
            </w:r>
            <w:r w:rsidR="00C518C0">
              <w:t xml:space="preserve"> a patient's </w:t>
            </w:r>
            <w:r w:rsidR="00C32FEB">
              <w:t>billing or medical records</w:t>
            </w:r>
            <w:r w:rsidR="00804BA4">
              <w:t xml:space="preserve"> </w:t>
            </w:r>
            <w:r w:rsidR="00C518C0">
              <w:t>on the requisite written consent for release of confidential information</w:t>
            </w:r>
            <w:r w:rsidR="00F30028">
              <w:t xml:space="preserve"> under state law</w:t>
            </w:r>
            <w:r w:rsidR="00C518C0">
              <w:t xml:space="preserve"> to provide that requested information </w:t>
            </w:r>
            <w:r w:rsidR="00804BA4">
              <w:t xml:space="preserve">in accordance with </w:t>
            </w:r>
            <w:r w:rsidR="00447125">
              <w:t>th</w:t>
            </w:r>
            <w:r w:rsidR="00C518C0">
              <w:t>e bill's</w:t>
            </w:r>
            <w:r w:rsidR="00447125">
              <w:t xml:space="preserve"> </w:t>
            </w:r>
            <w:r w:rsidR="00804BA4">
              <w:t xml:space="preserve">prohibition, if applicable. </w:t>
            </w:r>
            <w:r w:rsidR="00C518C0">
              <w:t>The bill establishes that a</w:t>
            </w:r>
            <w:r>
              <w:t xml:space="preserve"> person or entity is not subject to civil, criminal, or administrative liability or professional disciplinary action for failure to comply with </w:t>
            </w:r>
            <w:r w:rsidR="002707F9">
              <w:t>th</w:t>
            </w:r>
            <w:r w:rsidR="00C518C0">
              <w:t>at requirement</w:t>
            </w:r>
            <w:r w:rsidR="00E57653">
              <w:t xml:space="preserve">. </w:t>
            </w:r>
          </w:p>
          <w:p w14:paraId="634DBC76" w14:textId="3843E125" w:rsidR="00D41A35" w:rsidRDefault="00D41A35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211FF6" w14:textId="6777EB0E" w:rsidR="00D41A35" w:rsidRDefault="00532026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1467 defines the following</w:t>
            </w:r>
            <w:r>
              <w:t xml:space="preserve"> terms for purposes of the bill</w:t>
            </w:r>
            <w:r w:rsidR="00447125">
              <w:t>'</w:t>
            </w:r>
            <w:r>
              <w:t>s provisions:</w:t>
            </w:r>
          </w:p>
          <w:p w14:paraId="03765249" w14:textId="3007AFE7" w:rsidR="00D41A35" w:rsidRDefault="00532026" w:rsidP="007222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"electronic health record" </w:t>
            </w:r>
            <w:r w:rsidR="00D56136">
              <w:t xml:space="preserve">by reference </w:t>
            </w:r>
            <w:r>
              <w:t xml:space="preserve">as </w:t>
            </w:r>
            <w:r w:rsidR="00652065" w:rsidRPr="00652065">
              <w:t>an electronic record of aggregated health-related information concerning a person that conforms to nationally recognized interoperability standards and that can be created, managed, and consulted by authorized health care providers across two or more health care organizations</w:t>
            </w:r>
            <w:r w:rsidR="00652065">
              <w:t>;</w:t>
            </w:r>
          </w:p>
          <w:p w14:paraId="332F9B0C" w14:textId="063EB51A" w:rsidR="00D41A35" w:rsidRDefault="00532026" w:rsidP="007222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"</w:t>
            </w:r>
            <w:r w:rsidR="00652065">
              <w:t>e</w:t>
            </w:r>
            <w:r>
              <w:t xml:space="preserve">lectronic means" </w:t>
            </w:r>
            <w:r w:rsidR="00652065">
              <w:t>as</w:t>
            </w:r>
            <w:r>
              <w:t xml:space="preserve"> publishing information on a secure electronic network or website, including a secure online patient portal or health sof</w:t>
            </w:r>
            <w:r>
              <w:t>tware application:</w:t>
            </w:r>
          </w:p>
          <w:p w14:paraId="1337211B" w14:textId="62A3A083" w:rsidR="00D41A35" w:rsidRDefault="00532026" w:rsidP="00722269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that is accessible by an electronic device, including a computer, mobile device, or tablet; and</w:t>
            </w:r>
          </w:p>
          <w:p w14:paraId="53FC5BE6" w14:textId="271A0816" w:rsidR="00D41A35" w:rsidRDefault="00532026" w:rsidP="00722269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through which the patient or patient representative has consented to receive the patient</w:t>
            </w:r>
            <w:r w:rsidR="00F30028">
              <w:t>'</w:t>
            </w:r>
            <w:r>
              <w:t>s billing or medical records</w:t>
            </w:r>
            <w:r w:rsidR="00652065">
              <w:t>;</w:t>
            </w:r>
          </w:p>
          <w:p w14:paraId="65D1657A" w14:textId="75DE193B" w:rsidR="00652065" w:rsidRDefault="00532026" w:rsidP="007222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"p</w:t>
            </w:r>
            <w:r w:rsidR="00D41A35">
              <w:t>atient representative</w:t>
            </w:r>
            <w:r>
              <w:t>"</w:t>
            </w:r>
            <w:r w:rsidR="00D41A35">
              <w:t xml:space="preserve"> </w:t>
            </w:r>
            <w:r>
              <w:t>as</w:t>
            </w:r>
            <w:r w:rsidR="00D41A35">
              <w:t xml:space="preserve"> a person </w:t>
            </w:r>
            <w:r>
              <w:t>who is a parent or legal guardian of the patient if the patient is a minor, a legal guardian of the patient if the patient has been adjudicated incapacitated to manage the patient</w:t>
            </w:r>
            <w:r w:rsidR="00D56136">
              <w:t>'</w:t>
            </w:r>
            <w:r>
              <w:t>s personal affairs, o</w:t>
            </w:r>
            <w:r w:rsidR="00F30028">
              <w:t>r</w:t>
            </w:r>
            <w:r>
              <w:t xml:space="preserve"> an attorney ad litem appointed for the</w:t>
            </w:r>
            <w:r>
              <w:t xml:space="preserve"> patient</w:t>
            </w:r>
            <w:r w:rsidR="00F30028">
              <w:t xml:space="preserve"> as authorized by specified provisions of applicable state law</w:t>
            </w:r>
            <w:r>
              <w:t>; and</w:t>
            </w:r>
          </w:p>
          <w:p w14:paraId="54737055" w14:textId="2C5AA5F1" w:rsidR="00D41A35" w:rsidRDefault="00532026" w:rsidP="007222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"</w:t>
            </w:r>
            <w:r w:rsidR="00652065">
              <w:t>s</w:t>
            </w:r>
            <w:r>
              <w:t xml:space="preserve">ensitive test result" </w:t>
            </w:r>
            <w:r w:rsidR="008031E5">
              <w:t>as</w:t>
            </w:r>
            <w:r>
              <w:t xml:space="preserve"> a</w:t>
            </w:r>
            <w:r w:rsidR="00652065">
              <w:t xml:space="preserve"> p</w:t>
            </w:r>
            <w:r>
              <w:t>athology report or radiology report that has a reasonable likelihood of showing a finding of malignancy or</w:t>
            </w:r>
            <w:r w:rsidR="00652065">
              <w:t xml:space="preserve"> </w:t>
            </w:r>
            <w:r>
              <w:t>test result that may reveal a genetic marke</w:t>
            </w:r>
            <w:r>
              <w:t>r.</w:t>
            </w:r>
          </w:p>
          <w:p w14:paraId="30B9F31D" w14:textId="68B06764" w:rsidR="00E57653" w:rsidRDefault="00E57653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ADAE0C" w14:textId="35367B8D" w:rsidR="006F0672" w:rsidRPr="009C36CD" w:rsidRDefault="00532026" w:rsidP="00722269">
            <w:pPr>
              <w:pStyle w:val="Header"/>
              <w:jc w:val="both"/>
            </w:pPr>
            <w:r>
              <w:t>C.S.</w:t>
            </w:r>
            <w:r w:rsidR="00E57653">
              <w:t>S.B. 1467 applies only to the disclosure of test results</w:t>
            </w:r>
            <w:r w:rsidR="00AD02F0">
              <w:t>,</w:t>
            </w:r>
            <w:r w:rsidR="00E57653">
              <w:t xml:space="preserve"> and a request for</w:t>
            </w:r>
            <w:r w:rsidR="00652065">
              <w:t xml:space="preserve"> </w:t>
            </w:r>
            <w:r w:rsidR="00E57653">
              <w:t>information made</w:t>
            </w:r>
            <w:r w:rsidR="00AD02F0">
              <w:t>,</w:t>
            </w:r>
            <w:r w:rsidR="00E57653">
              <w:t xml:space="preserve"> on or after the bill's effective date</w:t>
            </w:r>
            <w:r w:rsidR="00652065">
              <w:t xml:space="preserve">. </w:t>
            </w:r>
          </w:p>
          <w:p w14:paraId="250059FF" w14:textId="77777777" w:rsidR="008423E4" w:rsidRPr="00835628" w:rsidRDefault="008423E4" w:rsidP="00722269">
            <w:pPr>
              <w:rPr>
                <w:b/>
              </w:rPr>
            </w:pPr>
          </w:p>
        </w:tc>
      </w:tr>
      <w:tr w:rsidR="00551AAE" w14:paraId="0DDA30A8" w14:textId="77777777" w:rsidTr="00D7440F">
        <w:tc>
          <w:tcPr>
            <w:tcW w:w="9360" w:type="dxa"/>
          </w:tcPr>
          <w:p w14:paraId="45FB7705" w14:textId="77777777" w:rsidR="008423E4" w:rsidRPr="00A8133F" w:rsidRDefault="00532026" w:rsidP="007222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11D3D4" w14:textId="77777777" w:rsidR="008423E4" w:rsidRDefault="008423E4" w:rsidP="00722269"/>
          <w:p w14:paraId="55F86420" w14:textId="0E74B52B" w:rsidR="008423E4" w:rsidRPr="003624F2" w:rsidRDefault="00532026" w:rsidP="00722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525FFFC" w14:textId="77777777" w:rsidR="008423E4" w:rsidRPr="00233FDB" w:rsidRDefault="008423E4" w:rsidP="00722269">
            <w:pPr>
              <w:rPr>
                <w:b/>
              </w:rPr>
            </w:pPr>
          </w:p>
        </w:tc>
      </w:tr>
      <w:tr w:rsidR="00551AAE" w14:paraId="18E2FFF3" w14:textId="77777777" w:rsidTr="00D7440F">
        <w:tc>
          <w:tcPr>
            <w:tcW w:w="9360" w:type="dxa"/>
          </w:tcPr>
          <w:p w14:paraId="666CCB04" w14:textId="77777777" w:rsidR="003D295A" w:rsidRDefault="00532026" w:rsidP="007222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442BB27" w14:textId="77777777" w:rsidR="00C612BA" w:rsidRDefault="00C612BA" w:rsidP="00722269">
            <w:pPr>
              <w:jc w:val="both"/>
            </w:pPr>
          </w:p>
          <w:p w14:paraId="75EBDB99" w14:textId="291FDE2D" w:rsidR="00C612BA" w:rsidRDefault="00532026" w:rsidP="00722269">
            <w:pPr>
              <w:jc w:val="both"/>
            </w:pPr>
            <w:r>
              <w:t xml:space="preserve">While C.S.S.B. 1467 may </w:t>
            </w:r>
            <w:r>
              <w:t>differ from the engrossed in minor or nonsubstantive ways, the following summarizes the substantial differences between the engrossed and committee substitute versions of the bill.</w:t>
            </w:r>
          </w:p>
          <w:p w14:paraId="6E87BA8E" w14:textId="77777777" w:rsidR="00C612BA" w:rsidRDefault="00C612BA" w:rsidP="00722269">
            <w:pPr>
              <w:jc w:val="both"/>
            </w:pPr>
          </w:p>
          <w:p w14:paraId="48F27799" w14:textId="009ADFD9" w:rsidR="00C612BA" w:rsidRPr="00C612BA" w:rsidRDefault="00532026" w:rsidP="00722269">
            <w:pPr>
              <w:jc w:val="both"/>
            </w:pPr>
            <w:r>
              <w:t>Wh</w:t>
            </w:r>
            <w:r w:rsidR="00AD02F0">
              <w:t>ile both</w:t>
            </w:r>
            <w:r>
              <w:t xml:space="preserve"> the engrossed</w:t>
            </w:r>
            <w:r w:rsidR="00AD02F0">
              <w:t xml:space="preserve"> and the substitute</w:t>
            </w:r>
            <w:r>
              <w:t xml:space="preserve"> prohibit sensitive test result</w:t>
            </w:r>
            <w:r>
              <w:t xml:space="preserve">s from being </w:t>
            </w:r>
            <w:r w:rsidR="006D0834">
              <w:t>disclosed</w:t>
            </w:r>
            <w:r>
              <w:t xml:space="preserve"> to a patient or patient representative by electronic means before the third day after the date the results are finalized</w:t>
            </w:r>
            <w:r w:rsidR="007440E9">
              <w:t>, the engrossed</w:t>
            </w:r>
            <w:r>
              <w:t xml:space="preserve"> established that a person who administers or controls </w:t>
            </w:r>
            <w:r w:rsidR="007440E9">
              <w:t xml:space="preserve">a patient's </w:t>
            </w:r>
            <w:r>
              <w:t>electronic health records is re</w:t>
            </w:r>
            <w:r>
              <w:t xml:space="preserve">sponsible for implementing the prohibition, </w:t>
            </w:r>
            <w:r w:rsidR="007440E9">
              <w:t xml:space="preserve">whereas </w:t>
            </w:r>
            <w:r>
              <w:t xml:space="preserve">the substitute </w:t>
            </w:r>
            <w:r w:rsidR="007440E9">
              <w:t>instead specifies that the prohibit</w:t>
            </w:r>
            <w:r w:rsidR="004856E6">
              <w:t>ion applies to</w:t>
            </w:r>
            <w:r w:rsidR="007440E9">
              <w:t xml:space="preserve"> </w:t>
            </w:r>
            <w:r w:rsidR="004856E6">
              <w:t xml:space="preserve">the </w:t>
            </w:r>
            <w:r w:rsidR="007440E9">
              <w:t xml:space="preserve">disclosure </w:t>
            </w:r>
            <w:r w:rsidR="006D0834">
              <w:t xml:space="preserve">by a person or entity who administers or controls </w:t>
            </w:r>
            <w:r w:rsidR="007440E9">
              <w:t xml:space="preserve">the </w:t>
            </w:r>
            <w:r w:rsidR="004856E6">
              <w:t xml:space="preserve">patient's </w:t>
            </w:r>
            <w:r w:rsidR="006D0834">
              <w:t xml:space="preserve">electronic health record. </w:t>
            </w:r>
            <w:r w:rsidR="004856E6">
              <w:t>Additionally, w</w:t>
            </w:r>
            <w:r w:rsidR="006D0834">
              <w:t>hile both</w:t>
            </w:r>
            <w:r>
              <w:t xml:space="preserve"> the </w:t>
            </w:r>
            <w:r w:rsidR="00607592">
              <w:t>engross</w:t>
            </w:r>
            <w:r>
              <w:t>ed</w:t>
            </w:r>
            <w:r w:rsidR="006D0834">
              <w:t xml:space="preserve"> and substitute establish that a person is</w:t>
            </w:r>
            <w:r>
              <w:t xml:space="preserve"> </w:t>
            </w:r>
            <w:r w:rsidRPr="00C612BA">
              <w:t>not subject to civil, criminal, or administrative liability or professional disciplinary action for failure to comply with the</w:t>
            </w:r>
            <w:r w:rsidR="004856E6">
              <w:t xml:space="preserve"> bill's requirement to provide certain requested confidential patient information in accordance with the bill's prohibition</w:t>
            </w:r>
            <w:r w:rsidR="006D0834">
              <w:t xml:space="preserve">, the substitute </w:t>
            </w:r>
            <w:r w:rsidR="00CE5592">
              <w:t xml:space="preserve">also </w:t>
            </w:r>
            <w:r w:rsidR="006D0834">
              <w:t xml:space="preserve">includes an entity among those </w:t>
            </w:r>
            <w:r w:rsidR="00CE5592">
              <w:t xml:space="preserve">who are </w:t>
            </w:r>
            <w:r w:rsidR="006D0834">
              <w:t xml:space="preserve">not subject to such </w:t>
            </w:r>
            <w:r w:rsidR="00CE5592">
              <w:t xml:space="preserve">liability or </w:t>
            </w:r>
            <w:r w:rsidR="006D0834">
              <w:t xml:space="preserve">action. </w:t>
            </w:r>
          </w:p>
        </w:tc>
      </w:tr>
    </w:tbl>
    <w:p w14:paraId="068942CD" w14:textId="77777777" w:rsidR="008423E4" w:rsidRPr="00BE0E75" w:rsidRDefault="008423E4" w:rsidP="00722269">
      <w:pPr>
        <w:jc w:val="both"/>
        <w:rPr>
          <w:rFonts w:ascii="Arial" w:hAnsi="Arial"/>
          <w:sz w:val="16"/>
          <w:szCs w:val="16"/>
        </w:rPr>
      </w:pPr>
    </w:p>
    <w:p w14:paraId="5AD45490" w14:textId="77777777" w:rsidR="004108C3" w:rsidRPr="008423E4" w:rsidRDefault="004108C3" w:rsidP="0072226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0F97" w14:textId="77777777" w:rsidR="00000000" w:rsidRDefault="00532026">
      <w:r>
        <w:separator/>
      </w:r>
    </w:p>
  </w:endnote>
  <w:endnote w:type="continuationSeparator" w:id="0">
    <w:p w14:paraId="60F8C77C" w14:textId="77777777" w:rsidR="00000000" w:rsidRDefault="005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20A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1AAE" w14:paraId="113EDEE3" w14:textId="77777777" w:rsidTr="009C1E9A">
      <w:trPr>
        <w:cantSplit/>
      </w:trPr>
      <w:tc>
        <w:tcPr>
          <w:tcW w:w="0" w:type="pct"/>
        </w:tcPr>
        <w:p w14:paraId="0872C1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7BD4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8C3D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0E12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D86F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1AAE" w14:paraId="37872E61" w14:textId="77777777" w:rsidTr="009C1E9A">
      <w:trPr>
        <w:cantSplit/>
      </w:trPr>
      <w:tc>
        <w:tcPr>
          <w:tcW w:w="0" w:type="pct"/>
        </w:tcPr>
        <w:p w14:paraId="33F95F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DD94FE" w14:textId="544E56E3" w:rsidR="00EC379B" w:rsidRPr="009C1E9A" w:rsidRDefault="005320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29411-D</w:t>
          </w:r>
        </w:p>
      </w:tc>
      <w:tc>
        <w:tcPr>
          <w:tcW w:w="2453" w:type="pct"/>
        </w:tcPr>
        <w:p w14:paraId="4FA9935D" w14:textId="015D5523" w:rsidR="00EC379B" w:rsidRDefault="005320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90251">
            <w:t>23.130.157</w:t>
          </w:r>
          <w:r>
            <w:fldChar w:fldCharType="end"/>
          </w:r>
        </w:p>
      </w:tc>
    </w:tr>
    <w:tr w:rsidR="00551AAE" w14:paraId="341E5965" w14:textId="77777777" w:rsidTr="009C1E9A">
      <w:trPr>
        <w:cantSplit/>
      </w:trPr>
      <w:tc>
        <w:tcPr>
          <w:tcW w:w="0" w:type="pct"/>
        </w:tcPr>
        <w:p w14:paraId="580B0B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B73DFE" w14:textId="745BE213" w:rsidR="00EC379B" w:rsidRPr="009C1E9A" w:rsidRDefault="005320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27009</w:t>
          </w:r>
        </w:p>
      </w:tc>
      <w:tc>
        <w:tcPr>
          <w:tcW w:w="2453" w:type="pct"/>
        </w:tcPr>
        <w:p w14:paraId="22D211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0613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1AAE" w14:paraId="22792E3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B584000" w14:textId="77777777" w:rsidR="00EC379B" w:rsidRDefault="005320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9BFE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EFC3D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C5A1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7F50" w14:textId="77777777" w:rsidR="00000000" w:rsidRDefault="00532026">
      <w:r>
        <w:separator/>
      </w:r>
    </w:p>
  </w:footnote>
  <w:footnote w:type="continuationSeparator" w:id="0">
    <w:p w14:paraId="6CE7EF0C" w14:textId="77777777" w:rsidR="00000000" w:rsidRDefault="0053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DF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8ED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27CD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DEF"/>
    <w:multiLevelType w:val="hybridMultilevel"/>
    <w:tmpl w:val="943EADEC"/>
    <w:lvl w:ilvl="0" w:tplc="F57657A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D3DE8B9E">
      <w:start w:val="1"/>
      <w:numFmt w:val="upperLetter"/>
      <w:lvlText w:val="(%2)"/>
      <w:lvlJc w:val="left"/>
      <w:pPr>
        <w:ind w:left="1590" w:hanging="510"/>
      </w:pPr>
      <w:rPr>
        <w:rFonts w:hint="default"/>
      </w:rPr>
    </w:lvl>
    <w:lvl w:ilvl="2" w:tplc="A4EEB078" w:tentative="1">
      <w:start w:val="1"/>
      <w:numFmt w:val="lowerRoman"/>
      <w:lvlText w:val="%3."/>
      <w:lvlJc w:val="right"/>
      <w:pPr>
        <w:ind w:left="2160" w:hanging="180"/>
      </w:pPr>
    </w:lvl>
    <w:lvl w:ilvl="3" w:tplc="64FA2A84" w:tentative="1">
      <w:start w:val="1"/>
      <w:numFmt w:val="decimal"/>
      <w:lvlText w:val="%4."/>
      <w:lvlJc w:val="left"/>
      <w:pPr>
        <w:ind w:left="2880" w:hanging="360"/>
      </w:pPr>
    </w:lvl>
    <w:lvl w:ilvl="4" w:tplc="858499F0" w:tentative="1">
      <w:start w:val="1"/>
      <w:numFmt w:val="lowerLetter"/>
      <w:lvlText w:val="%5."/>
      <w:lvlJc w:val="left"/>
      <w:pPr>
        <w:ind w:left="3600" w:hanging="360"/>
      </w:pPr>
    </w:lvl>
    <w:lvl w:ilvl="5" w:tplc="2A289BEE" w:tentative="1">
      <w:start w:val="1"/>
      <w:numFmt w:val="lowerRoman"/>
      <w:lvlText w:val="%6."/>
      <w:lvlJc w:val="right"/>
      <w:pPr>
        <w:ind w:left="4320" w:hanging="180"/>
      </w:pPr>
    </w:lvl>
    <w:lvl w:ilvl="6" w:tplc="62A8582C" w:tentative="1">
      <w:start w:val="1"/>
      <w:numFmt w:val="decimal"/>
      <w:lvlText w:val="%7."/>
      <w:lvlJc w:val="left"/>
      <w:pPr>
        <w:ind w:left="5040" w:hanging="360"/>
      </w:pPr>
    </w:lvl>
    <w:lvl w:ilvl="7" w:tplc="2A3CAC7A" w:tentative="1">
      <w:start w:val="1"/>
      <w:numFmt w:val="lowerLetter"/>
      <w:lvlText w:val="%8."/>
      <w:lvlJc w:val="left"/>
      <w:pPr>
        <w:ind w:left="5760" w:hanging="360"/>
      </w:pPr>
    </w:lvl>
    <w:lvl w:ilvl="8" w:tplc="6212B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D8B"/>
    <w:multiLevelType w:val="hybridMultilevel"/>
    <w:tmpl w:val="BE3C9E3A"/>
    <w:lvl w:ilvl="0" w:tplc="7D6E4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9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C1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8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80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4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C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8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E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91035">
    <w:abstractNumId w:val="1"/>
  </w:num>
  <w:num w:numId="2" w16cid:durableId="121334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5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6014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7F9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836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2F1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95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125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6E6"/>
    <w:rsid w:val="00490251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026"/>
    <w:rsid w:val="005336BD"/>
    <w:rsid w:val="00534A49"/>
    <w:rsid w:val="005363BB"/>
    <w:rsid w:val="00541B98"/>
    <w:rsid w:val="00543374"/>
    <w:rsid w:val="00545548"/>
    <w:rsid w:val="00546923"/>
    <w:rsid w:val="00551AAE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92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06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83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67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269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D7A"/>
    <w:rsid w:val="007404BC"/>
    <w:rsid w:val="00740D13"/>
    <w:rsid w:val="00740F5F"/>
    <w:rsid w:val="00742794"/>
    <w:rsid w:val="00743C4C"/>
    <w:rsid w:val="007440E9"/>
    <w:rsid w:val="007445B7"/>
    <w:rsid w:val="00744920"/>
    <w:rsid w:val="007509BE"/>
    <w:rsid w:val="0075287B"/>
    <w:rsid w:val="00755C7B"/>
    <w:rsid w:val="00763DF4"/>
    <w:rsid w:val="00764786"/>
    <w:rsid w:val="00766E12"/>
    <w:rsid w:val="007707EA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1E5"/>
    <w:rsid w:val="00804124"/>
    <w:rsid w:val="00804BA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0C79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3E8C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47CC6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79B"/>
    <w:rsid w:val="00A26A8A"/>
    <w:rsid w:val="00A26BE1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0F18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2F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D79ED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FE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8C0"/>
    <w:rsid w:val="00C57933"/>
    <w:rsid w:val="00C60206"/>
    <w:rsid w:val="00C612BA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3A1"/>
    <w:rsid w:val="00C7669F"/>
    <w:rsid w:val="00C76DFF"/>
    <w:rsid w:val="00C77DE3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59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1A35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136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40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5F3"/>
    <w:rsid w:val="00D947B6"/>
    <w:rsid w:val="00D94A53"/>
    <w:rsid w:val="00D97E00"/>
    <w:rsid w:val="00D97F47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CCA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AE9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65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0EC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028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44AF"/>
    <w:rsid w:val="00F7758F"/>
    <w:rsid w:val="00F82811"/>
    <w:rsid w:val="00F84153"/>
    <w:rsid w:val="00F85661"/>
    <w:rsid w:val="00F96602"/>
    <w:rsid w:val="00F9735A"/>
    <w:rsid w:val="00FA31B4"/>
    <w:rsid w:val="00FA32FC"/>
    <w:rsid w:val="00FA4F52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09E7CC-13C5-4C7A-8B01-240C7681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7D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7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7D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7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7DE3"/>
    <w:rPr>
      <w:b/>
      <w:bCs/>
    </w:rPr>
  </w:style>
  <w:style w:type="paragraph" w:styleId="Revision">
    <w:name w:val="Revision"/>
    <w:hidden/>
    <w:uiPriority w:val="99"/>
    <w:semiHidden/>
    <w:rsid w:val="00C612BA"/>
    <w:rPr>
      <w:sz w:val="24"/>
      <w:szCs w:val="24"/>
    </w:rPr>
  </w:style>
  <w:style w:type="character" w:styleId="Hyperlink">
    <w:name w:val="Hyperlink"/>
    <w:basedOn w:val="DefaultParagraphFont"/>
    <w:unhideWhenUsed/>
    <w:rsid w:val="002E7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B0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4687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SB01467 (Committee Report (Substituted))</vt:lpstr>
    </vt:vector>
  </TitlesOfParts>
  <Company>State of Texas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29411</dc:subject>
  <dc:creator>State of Texas</dc:creator>
  <dc:description>SB 1467 by Hancock-(H)Public Health (Substitute Document Number: 88R 27009)</dc:description>
  <cp:lastModifiedBy>Damian Duarte</cp:lastModifiedBy>
  <cp:revision>2</cp:revision>
  <cp:lastPrinted>2003-11-26T17:21:00Z</cp:lastPrinted>
  <dcterms:created xsi:type="dcterms:W3CDTF">2023-05-11T17:34:00Z</dcterms:created>
  <dcterms:modified xsi:type="dcterms:W3CDTF">2023-05-11T17:34:00Z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23.130.157</vt:lpwstr>
  </property>
</Properties>
</file>