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B4E33" w14:paraId="59887193" w14:textId="77777777" w:rsidTr="00345119">
        <w:tc>
          <w:tcPr>
            <w:tcW w:w="9576" w:type="dxa"/>
            <w:noWrap/>
          </w:tcPr>
          <w:p w14:paraId="6D0E52B9" w14:textId="77777777" w:rsidR="008423E4" w:rsidRPr="0022177D" w:rsidRDefault="00C91891" w:rsidP="00F43401">
            <w:pPr>
              <w:pStyle w:val="Heading1"/>
            </w:pPr>
            <w:r w:rsidRPr="00631897">
              <w:t>BILL ANALYSIS</w:t>
            </w:r>
          </w:p>
        </w:tc>
      </w:tr>
    </w:tbl>
    <w:p w14:paraId="627A03AB" w14:textId="77777777" w:rsidR="008423E4" w:rsidRPr="0022177D" w:rsidRDefault="008423E4" w:rsidP="00F43401">
      <w:pPr>
        <w:jc w:val="center"/>
      </w:pPr>
    </w:p>
    <w:p w14:paraId="7DEBAD34" w14:textId="77777777" w:rsidR="008423E4" w:rsidRPr="00B31F0E" w:rsidRDefault="008423E4" w:rsidP="00F43401"/>
    <w:p w14:paraId="5560AE48" w14:textId="77777777" w:rsidR="008423E4" w:rsidRPr="00742794" w:rsidRDefault="008423E4" w:rsidP="00F4340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B4E33" w14:paraId="332E3CB8" w14:textId="77777777" w:rsidTr="00345119">
        <w:tc>
          <w:tcPr>
            <w:tcW w:w="9576" w:type="dxa"/>
          </w:tcPr>
          <w:p w14:paraId="790AECE0" w14:textId="25DC1894" w:rsidR="008423E4" w:rsidRPr="00861995" w:rsidRDefault="00C91891" w:rsidP="00F43401">
            <w:pPr>
              <w:jc w:val="right"/>
            </w:pPr>
            <w:r>
              <w:t>C.S.S.B. 1499</w:t>
            </w:r>
          </w:p>
        </w:tc>
      </w:tr>
      <w:tr w:rsidR="002B4E33" w14:paraId="0E04686C" w14:textId="77777777" w:rsidTr="00345119">
        <w:tc>
          <w:tcPr>
            <w:tcW w:w="9576" w:type="dxa"/>
          </w:tcPr>
          <w:p w14:paraId="0FDC35B0" w14:textId="613F25C8" w:rsidR="008423E4" w:rsidRPr="00861995" w:rsidRDefault="00C91891" w:rsidP="00F43401">
            <w:pPr>
              <w:jc w:val="right"/>
            </w:pPr>
            <w:r>
              <w:t xml:space="preserve">By: </w:t>
            </w:r>
            <w:r w:rsidR="00A402C1">
              <w:t>Nichols</w:t>
            </w:r>
          </w:p>
        </w:tc>
      </w:tr>
      <w:tr w:rsidR="002B4E33" w14:paraId="1A1386E9" w14:textId="77777777" w:rsidTr="00345119">
        <w:tc>
          <w:tcPr>
            <w:tcW w:w="9576" w:type="dxa"/>
          </w:tcPr>
          <w:p w14:paraId="5A26B5A6" w14:textId="2E89114B" w:rsidR="008423E4" w:rsidRPr="00861995" w:rsidRDefault="00C91891" w:rsidP="00F43401">
            <w:pPr>
              <w:jc w:val="right"/>
            </w:pPr>
            <w:r>
              <w:t>Transportation</w:t>
            </w:r>
          </w:p>
        </w:tc>
      </w:tr>
      <w:tr w:rsidR="002B4E33" w14:paraId="6BD47EC2" w14:textId="77777777" w:rsidTr="00345119">
        <w:tc>
          <w:tcPr>
            <w:tcW w:w="9576" w:type="dxa"/>
          </w:tcPr>
          <w:p w14:paraId="7A2B57CE" w14:textId="129F7F17" w:rsidR="008423E4" w:rsidRDefault="00C91891" w:rsidP="00F43401">
            <w:pPr>
              <w:jc w:val="right"/>
            </w:pPr>
            <w:r>
              <w:t>Committee Report (Substituted)</w:t>
            </w:r>
          </w:p>
        </w:tc>
      </w:tr>
    </w:tbl>
    <w:p w14:paraId="520FBB4E" w14:textId="77777777" w:rsidR="008423E4" w:rsidRDefault="008423E4" w:rsidP="00F43401">
      <w:pPr>
        <w:tabs>
          <w:tab w:val="right" w:pos="9360"/>
        </w:tabs>
      </w:pPr>
    </w:p>
    <w:p w14:paraId="40918FA7" w14:textId="77777777" w:rsidR="008423E4" w:rsidRDefault="008423E4" w:rsidP="00F43401"/>
    <w:p w14:paraId="2B40DE39" w14:textId="77777777" w:rsidR="008423E4" w:rsidRDefault="008423E4" w:rsidP="00F4340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B4E33" w14:paraId="392E9BFA" w14:textId="77777777" w:rsidTr="00695FF8">
        <w:tc>
          <w:tcPr>
            <w:tcW w:w="9360" w:type="dxa"/>
          </w:tcPr>
          <w:p w14:paraId="729A0167" w14:textId="77777777" w:rsidR="008423E4" w:rsidRPr="00A8133F" w:rsidRDefault="00C91891" w:rsidP="00F4340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934BE50" w14:textId="77777777" w:rsidR="008423E4" w:rsidRDefault="008423E4" w:rsidP="00F43401"/>
          <w:p w14:paraId="1775BA23" w14:textId="601CC77D" w:rsidR="008423E4" w:rsidRDefault="00C91891" w:rsidP="00F43401">
            <w:pPr>
              <w:pStyle w:val="Header"/>
              <w:jc w:val="both"/>
            </w:pPr>
            <w:r>
              <w:t xml:space="preserve">According to the Texas Port Association, Texas ports transport a total of 464 million tons </w:t>
            </w:r>
            <w:r w:rsidR="00963A79">
              <w:t xml:space="preserve">in </w:t>
            </w:r>
            <w:r>
              <w:t xml:space="preserve">international trade and 143 million tons </w:t>
            </w:r>
            <w:r w:rsidR="00963A79">
              <w:t xml:space="preserve">in </w:t>
            </w:r>
            <w:r>
              <w:t>domestic trade. Texas ports are currently home to the largest container port on the U.S. Gulf Coast; largest breakbulk</w:t>
            </w:r>
            <w:r>
              <w:t xml:space="preserve"> gateway in the U</w:t>
            </w:r>
            <w:r w:rsidR="00655C18">
              <w:t xml:space="preserve">nited </w:t>
            </w:r>
            <w:r>
              <w:t>S</w:t>
            </w:r>
            <w:r w:rsidR="00655C18">
              <w:t>tates</w:t>
            </w:r>
            <w:r>
              <w:t>; largest port in the U</w:t>
            </w:r>
            <w:r w:rsidR="00655C18">
              <w:t xml:space="preserve">nited </w:t>
            </w:r>
            <w:r>
              <w:t>S</w:t>
            </w:r>
            <w:r w:rsidR="00655C18">
              <w:t>tates</w:t>
            </w:r>
            <w:r>
              <w:t xml:space="preserve"> in total revenue tonnage; and leading U</w:t>
            </w:r>
            <w:r w:rsidR="002F604A">
              <w:t>.</w:t>
            </w:r>
            <w:r>
              <w:t>S</w:t>
            </w:r>
            <w:r w:rsidR="002F604A">
              <w:t>.</w:t>
            </w:r>
            <w:r>
              <w:t xml:space="preserve"> energy export gateway. Further investments by the State of Texas will help ensure </w:t>
            </w:r>
            <w:r w:rsidR="00963A79">
              <w:t xml:space="preserve">that </w:t>
            </w:r>
            <w:r>
              <w:t>our state continues to maintain its leadership in maritime tr</w:t>
            </w:r>
            <w:r>
              <w:t xml:space="preserve">ade. </w:t>
            </w:r>
            <w:r w:rsidR="00297473">
              <w:t>C.S.S.B. 1499</w:t>
            </w:r>
            <w:r w:rsidR="00233470">
              <w:t xml:space="preserve"> </w:t>
            </w:r>
            <w:r>
              <w:t>seeks t</w:t>
            </w:r>
            <w:r w:rsidR="00963A79">
              <w:t>o</w:t>
            </w:r>
            <w:r>
              <w:t xml:space="preserve"> ensure Texas ports have </w:t>
            </w:r>
            <w:r w:rsidR="00963A79">
              <w:t xml:space="preserve">a </w:t>
            </w:r>
            <w:r>
              <w:t>grant funding program in place to continue to meet the increasing demands of today</w:t>
            </w:r>
            <w:r w:rsidR="009B322F">
              <w:t>'</w:t>
            </w:r>
            <w:r>
              <w:t>s economy and growth</w:t>
            </w:r>
            <w:r w:rsidR="00963A79">
              <w:t xml:space="preserve"> of</w:t>
            </w:r>
            <w:r>
              <w:t xml:space="preserve"> the state. Currently, the port access fund </w:t>
            </w:r>
            <w:r w:rsidR="00963A79">
              <w:t xml:space="preserve">exists by law, but </w:t>
            </w:r>
            <w:r>
              <w:t>it has not been funded in the pas</w:t>
            </w:r>
            <w:r>
              <w:t xml:space="preserve">t nor does it ensure that one port would not be the sole beneficiary of the possible funding. </w:t>
            </w:r>
            <w:r w:rsidR="00297473">
              <w:t>C.S.S.B. 1499</w:t>
            </w:r>
            <w:r w:rsidR="00233470">
              <w:t xml:space="preserve"> </w:t>
            </w:r>
            <w:r>
              <w:t xml:space="preserve">addresses these issues and clarifies </w:t>
            </w:r>
            <w:r w:rsidR="00963A79">
              <w:t>that f</w:t>
            </w:r>
            <w:r w:rsidR="00963A79" w:rsidRPr="00963A79">
              <w:t>unds may be appropriated to the fund by the legislature for development and infrastructure projects.</w:t>
            </w:r>
          </w:p>
          <w:p w14:paraId="1A72979A" w14:textId="77777777" w:rsidR="008423E4" w:rsidRPr="00E26B13" w:rsidRDefault="008423E4" w:rsidP="00F43401">
            <w:pPr>
              <w:rPr>
                <w:b/>
              </w:rPr>
            </w:pPr>
          </w:p>
        </w:tc>
      </w:tr>
      <w:tr w:rsidR="002B4E33" w14:paraId="0BDD290A" w14:textId="77777777" w:rsidTr="00695FF8">
        <w:tc>
          <w:tcPr>
            <w:tcW w:w="9360" w:type="dxa"/>
          </w:tcPr>
          <w:p w14:paraId="4C22A607" w14:textId="77777777" w:rsidR="0017725B" w:rsidRDefault="00C91891" w:rsidP="00F4340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8483D12" w14:textId="77777777" w:rsidR="0017725B" w:rsidRDefault="0017725B" w:rsidP="00F43401">
            <w:pPr>
              <w:rPr>
                <w:b/>
                <w:u w:val="single"/>
              </w:rPr>
            </w:pPr>
          </w:p>
          <w:p w14:paraId="654C9061" w14:textId="454BCF1A" w:rsidR="00977194" w:rsidRPr="00977194" w:rsidRDefault="00C91891" w:rsidP="00F43401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</w:t>
            </w:r>
            <w:r>
              <w:t>ision, parole, or mandatory supervision.</w:t>
            </w:r>
          </w:p>
          <w:p w14:paraId="7C380322" w14:textId="77777777" w:rsidR="0017725B" w:rsidRPr="0017725B" w:rsidRDefault="0017725B" w:rsidP="00F43401">
            <w:pPr>
              <w:rPr>
                <w:b/>
                <w:u w:val="single"/>
              </w:rPr>
            </w:pPr>
          </w:p>
        </w:tc>
      </w:tr>
      <w:tr w:rsidR="002B4E33" w14:paraId="0DD0869C" w14:textId="77777777" w:rsidTr="00695FF8">
        <w:tc>
          <w:tcPr>
            <w:tcW w:w="9360" w:type="dxa"/>
          </w:tcPr>
          <w:p w14:paraId="3E7C1782" w14:textId="77777777" w:rsidR="008423E4" w:rsidRPr="00A8133F" w:rsidRDefault="00C91891" w:rsidP="00F4340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99EBCE1" w14:textId="77777777" w:rsidR="008423E4" w:rsidRDefault="008423E4" w:rsidP="00F43401"/>
          <w:p w14:paraId="3EE833F0" w14:textId="6D1D5BEC" w:rsidR="00977194" w:rsidRDefault="00C91891" w:rsidP="00F4340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6211287" w14:textId="77777777" w:rsidR="008423E4" w:rsidRPr="00E21FDC" w:rsidRDefault="008423E4" w:rsidP="00F43401">
            <w:pPr>
              <w:rPr>
                <w:b/>
              </w:rPr>
            </w:pPr>
          </w:p>
        </w:tc>
      </w:tr>
      <w:tr w:rsidR="002B4E33" w14:paraId="1A5C569F" w14:textId="77777777" w:rsidTr="00695FF8">
        <w:tc>
          <w:tcPr>
            <w:tcW w:w="9360" w:type="dxa"/>
          </w:tcPr>
          <w:p w14:paraId="13C8BFAE" w14:textId="77777777" w:rsidR="008423E4" w:rsidRPr="00A8133F" w:rsidRDefault="00C91891" w:rsidP="00F4340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76E21BF" w14:textId="77777777" w:rsidR="008423E4" w:rsidRDefault="008423E4" w:rsidP="00F43401"/>
          <w:p w14:paraId="13A32CC1" w14:textId="2B5136F7" w:rsidR="00246EA8" w:rsidRDefault="00C91891" w:rsidP="00F4340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C.S.S.B. 1499 </w:t>
            </w:r>
            <w:r w:rsidR="00203BB3">
              <w:t xml:space="preserve">amends the Transportation Code to </w:t>
            </w:r>
            <w:r>
              <w:t xml:space="preserve">revise provisions relating to </w:t>
            </w:r>
            <w:r w:rsidR="00E75D56">
              <w:t xml:space="preserve">the funding of certain </w:t>
            </w:r>
            <w:r w:rsidR="00B50FBA">
              <w:t xml:space="preserve">port </w:t>
            </w:r>
            <w:r w:rsidR="00E75D56">
              <w:t>projects as follows</w:t>
            </w:r>
            <w:r>
              <w:t>:</w:t>
            </w:r>
          </w:p>
          <w:p w14:paraId="1FBFEDE5" w14:textId="5EA68985" w:rsidR="00246EA8" w:rsidRDefault="00C91891" w:rsidP="00F4340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renames</w:t>
            </w:r>
            <w:r w:rsidR="00A22FD9">
              <w:t xml:space="preserve"> </w:t>
            </w:r>
            <w:r w:rsidR="00116A2E">
              <w:t xml:space="preserve">a </w:t>
            </w:r>
            <w:r>
              <w:t>"port access improvement project"</w:t>
            </w:r>
            <w:r w:rsidR="00A22FD9">
              <w:t xml:space="preserve"> </w:t>
            </w:r>
            <w:r w:rsidR="00116A2E">
              <w:t xml:space="preserve">as a </w:t>
            </w:r>
            <w:r>
              <w:t>"port connectivity project</w:t>
            </w:r>
            <w:r w:rsidR="009B322F">
              <w:t>"</w:t>
            </w:r>
            <w:r w:rsidR="00A22FD9">
              <w:t>;</w:t>
            </w:r>
          </w:p>
          <w:p w14:paraId="61868EDF" w14:textId="0425EFD2" w:rsidR="00246EA8" w:rsidRDefault="00C91891" w:rsidP="00F4340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renames </w:t>
            </w:r>
            <w:r w:rsidR="00116A2E">
              <w:t>a "port security, transportation, or facility project" as</w:t>
            </w:r>
            <w:r>
              <w:t xml:space="preserve"> </w:t>
            </w:r>
            <w:r w:rsidR="00116A2E">
              <w:t xml:space="preserve">a </w:t>
            </w:r>
            <w:r>
              <w:t xml:space="preserve">"port development and </w:t>
            </w:r>
            <w:r w:rsidR="00B50FBA">
              <w:t>infrastructure</w:t>
            </w:r>
            <w:r>
              <w:t xml:space="preserve"> project</w:t>
            </w:r>
            <w:r w:rsidR="00B50FBA">
              <w:t>"</w:t>
            </w:r>
            <w:r w:rsidR="009C1FAC">
              <w:t xml:space="preserve"> and redefines the term as</w:t>
            </w:r>
            <w:r w:rsidR="009C1FAC" w:rsidRPr="00A22FD9">
              <w:t xml:space="preserve"> </w:t>
            </w:r>
            <w:r w:rsidR="009C1FAC">
              <w:t xml:space="preserve">an infrastructure, security, transportation, or facility project that is </w:t>
            </w:r>
            <w:r w:rsidR="009C1FAC" w:rsidRPr="00A22FD9">
              <w:t>necessary or convenient for the proper operation of a maritime port and</w:t>
            </w:r>
            <w:r w:rsidR="009C1FAC">
              <w:t xml:space="preserve"> for the improvement of </w:t>
            </w:r>
            <w:r w:rsidR="009C1FAC" w:rsidRPr="00A22FD9">
              <w:t>security, movement, and intermodal transportation of cargo or passengers in commerce and trade</w:t>
            </w:r>
            <w:r w:rsidR="009C1FAC">
              <w:t>;</w:t>
            </w:r>
            <w:r>
              <w:t xml:space="preserve"> </w:t>
            </w:r>
          </w:p>
          <w:p w14:paraId="0B46B97A" w14:textId="6CBEF5C2" w:rsidR="009C2DBF" w:rsidRDefault="00C91891" w:rsidP="00F4340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clarifies that</w:t>
            </w:r>
            <w:r w:rsidR="00FC6F5C">
              <w:t xml:space="preserve"> </w:t>
            </w:r>
            <w:r w:rsidR="00FC6F5C" w:rsidRPr="00FC6F5C">
              <w:t>the</w:t>
            </w:r>
            <w:r>
              <w:t xml:space="preserve"> </w:t>
            </w:r>
            <w:r w:rsidR="00393095" w:rsidRPr="00393095">
              <w:t>Port Authority Advisory Committee</w:t>
            </w:r>
            <w:r w:rsidR="00393095">
              <w:t xml:space="preserve"> </w:t>
            </w:r>
            <w:r>
              <w:t xml:space="preserve">determines </w:t>
            </w:r>
            <w:r w:rsidR="009C1FAC">
              <w:t>the</w:t>
            </w:r>
            <w:r>
              <w:t xml:space="preserve"> </w:t>
            </w:r>
            <w:r w:rsidR="009C1FAC">
              <w:t>facilities necessary or useful for purposes of receiv</w:t>
            </w:r>
            <w:r w:rsidR="00AC0EF1">
              <w:t>ing</w:t>
            </w:r>
            <w:r w:rsidR="009C1FAC">
              <w:t xml:space="preserve"> </w:t>
            </w:r>
            <w:r w:rsidR="002D3F1B">
              <w:t>project funding as a port development and infrastructure project for construction or improvement of those facilities</w:t>
            </w:r>
            <w:r>
              <w:t>;</w:t>
            </w:r>
          </w:p>
          <w:p w14:paraId="7AFCA023" w14:textId="57DDFE38" w:rsidR="00246EA8" w:rsidRDefault="00C91891" w:rsidP="00F4340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extends </w:t>
            </w:r>
            <w:r w:rsidR="002D3F1B">
              <w:t xml:space="preserve">the </w:t>
            </w:r>
            <w:r>
              <w:t xml:space="preserve">eligibility </w:t>
            </w:r>
            <w:r w:rsidR="002D3F1B">
              <w:t xml:space="preserve">for funding as a port development and infrastructure project </w:t>
            </w:r>
            <w:r>
              <w:t>to</w:t>
            </w:r>
            <w:r w:rsidR="009C2DBF">
              <w:t xml:space="preserve"> </w:t>
            </w:r>
            <w:r>
              <w:t>projects for the</w:t>
            </w:r>
            <w:r w:rsidR="009C2DBF" w:rsidRPr="009C2DBF">
              <w:t xml:space="preserve"> acquisition of </w:t>
            </w:r>
            <w:r w:rsidR="00331CD7">
              <w:t>certain</w:t>
            </w:r>
            <w:r w:rsidR="009C2DBF" w:rsidRPr="009C2DBF">
              <w:t xml:space="preserve"> mechanized equipment </w:t>
            </w:r>
            <w:r w:rsidR="00331CD7">
              <w:t xml:space="preserve">to be </w:t>
            </w:r>
            <w:r w:rsidR="009C2DBF" w:rsidRPr="009C2DBF">
              <w:t xml:space="preserve">used in the movement of cargo or passengers in </w:t>
            </w:r>
            <w:r>
              <w:t>all</w:t>
            </w:r>
            <w:r w:rsidR="009C2DBF" w:rsidRPr="009C2DBF">
              <w:t xml:space="preserve"> </w:t>
            </w:r>
            <w:r>
              <w:t xml:space="preserve">types of </w:t>
            </w:r>
            <w:r w:rsidR="009C2DBF" w:rsidRPr="009C2DBF">
              <w:t>commerce and trade</w:t>
            </w:r>
            <w:r w:rsidR="00393095">
              <w:t>, rather than</w:t>
            </w:r>
            <w:r w:rsidR="004F48BF">
              <w:t xml:space="preserve"> only</w:t>
            </w:r>
            <w:r w:rsidR="00393095">
              <w:t xml:space="preserve"> projects </w:t>
            </w:r>
            <w:r w:rsidR="004F48BF">
              <w:t>for the acquisition of such equipment used in</w:t>
            </w:r>
            <w:r w:rsidR="00393095">
              <w:t xml:space="preserve"> international commerce</w:t>
            </w:r>
            <w:r w:rsidR="009C2DBF" w:rsidRPr="009C2DBF">
              <w:t>;</w:t>
            </w:r>
            <w:r w:rsidR="00FC6F5C">
              <w:t xml:space="preserve"> </w:t>
            </w:r>
            <w:r w:rsidR="00393095">
              <w:t>and</w:t>
            </w:r>
          </w:p>
          <w:p w14:paraId="232D9E49" w14:textId="29081F8F" w:rsidR="0025207B" w:rsidRDefault="00C91891" w:rsidP="00F4340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caps the</w:t>
            </w:r>
            <w:r w:rsidR="00855B7F">
              <w:t xml:space="preserve"> </w:t>
            </w:r>
            <w:r>
              <w:t xml:space="preserve">funding </w:t>
            </w:r>
            <w:r w:rsidR="00855B7F">
              <w:t xml:space="preserve">that </w:t>
            </w:r>
            <w:r>
              <w:t xml:space="preserve">an eligible </w:t>
            </w:r>
            <w:r w:rsidR="00E12AB2">
              <w:t xml:space="preserve">applicant </w:t>
            </w:r>
            <w:r>
              <w:t xml:space="preserve">may receive from the </w:t>
            </w:r>
            <w:r w:rsidRPr="0011404D">
              <w:t xml:space="preserve">port </w:t>
            </w:r>
            <w:r w:rsidR="008661C2">
              <w:t>access account</w:t>
            </w:r>
            <w:r w:rsidRPr="0011404D">
              <w:t xml:space="preserve"> </w:t>
            </w:r>
            <w:r>
              <w:t xml:space="preserve">fund </w:t>
            </w:r>
            <w:r w:rsidR="00855B7F">
              <w:t xml:space="preserve">at </w:t>
            </w:r>
            <w:r w:rsidR="00E12AB2">
              <w:t>20</w:t>
            </w:r>
            <w:r w:rsidR="00E12AB2" w:rsidRPr="00977194">
              <w:t xml:space="preserve"> </w:t>
            </w:r>
            <w:r w:rsidRPr="00977194">
              <w:t xml:space="preserve">percent of the total amount of money appropriated to the </w:t>
            </w:r>
            <w:r w:rsidRPr="0025207B">
              <w:t>Texas Department of Transportation</w:t>
            </w:r>
            <w:r w:rsidR="00434AB3">
              <w:t xml:space="preserve"> (TxDOT)</w:t>
            </w:r>
            <w:r>
              <w:t xml:space="preserve"> </w:t>
            </w:r>
            <w:r w:rsidRPr="00977194">
              <w:t>in a fiscal biennium to fund eligible projects</w:t>
            </w:r>
            <w:r w:rsidR="00393095">
              <w:t>.</w:t>
            </w:r>
          </w:p>
          <w:p w14:paraId="414E35BE" w14:textId="77777777" w:rsidR="00855B7F" w:rsidRDefault="00855B7F" w:rsidP="00F4340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B35646A" w14:textId="65712F36" w:rsidR="007F2C4A" w:rsidRPr="009C36CD" w:rsidRDefault="00C91891" w:rsidP="00F4340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C.S.S.B. 1499</w:t>
            </w:r>
            <w:r w:rsidR="00393095" w:rsidRPr="00375E87">
              <w:t xml:space="preserve"> </w:t>
            </w:r>
            <w:r w:rsidR="00855B7F" w:rsidRPr="00375E87">
              <w:t>require</w:t>
            </w:r>
            <w:r w:rsidR="00393095" w:rsidRPr="00375E87">
              <w:t>s</w:t>
            </w:r>
            <w:r w:rsidR="00855B7F" w:rsidRPr="00375E87">
              <w:t xml:space="preserve"> money appropriated to the port access account fund by the legislature and </w:t>
            </w:r>
            <w:r w:rsidR="00827678" w:rsidRPr="00375E87">
              <w:t xml:space="preserve">money </w:t>
            </w:r>
            <w:r w:rsidR="00855B7F" w:rsidRPr="00375E87">
              <w:t>received from the federal government to be credited to</w:t>
            </w:r>
            <w:r w:rsidR="001A7C8F">
              <w:t xml:space="preserve"> the</w:t>
            </w:r>
            <w:r w:rsidR="00855B7F" w:rsidRPr="00375E87">
              <w:t xml:space="preserve"> </w:t>
            </w:r>
            <w:r w:rsidR="00827678" w:rsidRPr="00375E87">
              <w:t>port access account</w:t>
            </w:r>
            <w:r w:rsidR="00855B7F" w:rsidRPr="00375E87">
              <w:t xml:space="preserve"> fund. The bill </w:t>
            </w:r>
            <w:r w:rsidR="00827678" w:rsidRPr="00375E87">
              <w:t>restricts the use of</w:t>
            </w:r>
            <w:r w:rsidR="00855B7F" w:rsidRPr="00375E87">
              <w:t xml:space="preserve"> </w:t>
            </w:r>
            <w:r w:rsidR="00AC0EF1">
              <w:t>such</w:t>
            </w:r>
            <w:r w:rsidR="00827678" w:rsidRPr="00375E87">
              <w:t xml:space="preserve"> </w:t>
            </w:r>
            <w:r w:rsidR="00855B7F" w:rsidRPr="00375E87">
              <w:t xml:space="preserve">money appropriated by the legislature </w:t>
            </w:r>
            <w:r w:rsidR="00827678" w:rsidRPr="00375E87">
              <w:t>to funding</w:t>
            </w:r>
            <w:r w:rsidR="008661C2">
              <w:t xml:space="preserve"> eligible</w:t>
            </w:r>
            <w:r w:rsidR="00827678" w:rsidRPr="00375E87">
              <w:t xml:space="preserve"> </w:t>
            </w:r>
            <w:r w:rsidR="00855B7F" w:rsidRPr="00375E87">
              <w:t>port development and infrastructure projects.</w:t>
            </w:r>
            <w:r w:rsidR="00530D4C">
              <w:t xml:space="preserve"> </w:t>
            </w:r>
            <w:r w:rsidR="00434AB3">
              <w:t xml:space="preserve">The bill clarifies that the expenses incurred by TxDOT for the funding of port security, projects, and studies are </w:t>
            </w:r>
            <w:r w:rsidR="00AC0EF1">
              <w:t>expenses</w:t>
            </w:r>
            <w:r w:rsidR="00434AB3">
              <w:t xml:space="preserve"> approved by the Port Authority Advisory Committee.</w:t>
            </w:r>
          </w:p>
          <w:p w14:paraId="71425FA6" w14:textId="77777777" w:rsidR="008423E4" w:rsidRPr="00835628" w:rsidRDefault="008423E4" w:rsidP="00F43401">
            <w:pPr>
              <w:rPr>
                <w:b/>
              </w:rPr>
            </w:pPr>
          </w:p>
        </w:tc>
      </w:tr>
      <w:tr w:rsidR="002B4E33" w14:paraId="24424FB1" w14:textId="77777777" w:rsidTr="00695FF8">
        <w:tc>
          <w:tcPr>
            <w:tcW w:w="9360" w:type="dxa"/>
          </w:tcPr>
          <w:p w14:paraId="6373DA37" w14:textId="77777777" w:rsidR="008423E4" w:rsidRPr="00A8133F" w:rsidRDefault="00C91891" w:rsidP="00F4340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E87629E" w14:textId="77777777" w:rsidR="008423E4" w:rsidRDefault="008423E4" w:rsidP="00F43401"/>
          <w:p w14:paraId="5ADF4427" w14:textId="1A3262CF" w:rsidR="008423E4" w:rsidRPr="003624F2" w:rsidRDefault="00C91891" w:rsidP="00F4340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September 1, </w:t>
            </w:r>
            <w:r>
              <w:t>2023.</w:t>
            </w:r>
          </w:p>
          <w:p w14:paraId="424676A4" w14:textId="77777777" w:rsidR="008423E4" w:rsidRPr="00233FDB" w:rsidRDefault="008423E4" w:rsidP="00F43401">
            <w:pPr>
              <w:rPr>
                <w:b/>
              </w:rPr>
            </w:pPr>
          </w:p>
        </w:tc>
      </w:tr>
      <w:tr w:rsidR="002B4E33" w14:paraId="38C4D122" w14:textId="77777777" w:rsidTr="00695FF8">
        <w:tc>
          <w:tcPr>
            <w:tcW w:w="9360" w:type="dxa"/>
          </w:tcPr>
          <w:p w14:paraId="624E414E" w14:textId="77777777" w:rsidR="00A402C1" w:rsidRDefault="00C91891" w:rsidP="00F4340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SENATE ENGROSSED AND SUBSTITUTE</w:t>
            </w:r>
          </w:p>
          <w:p w14:paraId="2A60D62E" w14:textId="77777777" w:rsidR="00233470" w:rsidRDefault="00233470" w:rsidP="00F43401">
            <w:pPr>
              <w:jc w:val="both"/>
            </w:pPr>
          </w:p>
          <w:p w14:paraId="7997184E" w14:textId="14CB11DA" w:rsidR="0088731C" w:rsidRDefault="00C91891" w:rsidP="00F43401">
            <w:pPr>
              <w:jc w:val="both"/>
            </w:pPr>
            <w:r>
              <w:t>C.S.S.B</w:t>
            </w:r>
            <w:r w:rsidR="00540DAB">
              <w:t>.</w:t>
            </w:r>
            <w:r>
              <w:t xml:space="preserve"> 1499 differs from the engrossed in minor or nonsubstantive ways by conforming to certain bill drafting conventions.</w:t>
            </w:r>
          </w:p>
          <w:p w14:paraId="10416B7A" w14:textId="56B1AC9F" w:rsidR="0088731C" w:rsidRPr="00344745" w:rsidRDefault="0088731C" w:rsidP="00F43401">
            <w:pPr>
              <w:jc w:val="both"/>
            </w:pPr>
          </w:p>
        </w:tc>
      </w:tr>
    </w:tbl>
    <w:p w14:paraId="1EF7F22C" w14:textId="77777777" w:rsidR="008423E4" w:rsidRPr="00BE0E75" w:rsidRDefault="008423E4" w:rsidP="00F43401">
      <w:pPr>
        <w:jc w:val="both"/>
        <w:rPr>
          <w:rFonts w:ascii="Arial" w:hAnsi="Arial"/>
          <w:sz w:val="16"/>
          <w:szCs w:val="16"/>
        </w:rPr>
      </w:pPr>
    </w:p>
    <w:p w14:paraId="291256A8" w14:textId="77777777" w:rsidR="004108C3" w:rsidRPr="008423E4" w:rsidRDefault="004108C3" w:rsidP="00F4340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F4124" w14:textId="77777777" w:rsidR="00000000" w:rsidRDefault="00C91891">
      <w:r>
        <w:separator/>
      </w:r>
    </w:p>
  </w:endnote>
  <w:endnote w:type="continuationSeparator" w:id="0">
    <w:p w14:paraId="131970DD" w14:textId="77777777" w:rsidR="00000000" w:rsidRDefault="00C9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41B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B4E33" w14:paraId="291EAA6B" w14:textId="77777777" w:rsidTr="009C1E9A">
      <w:trPr>
        <w:cantSplit/>
      </w:trPr>
      <w:tc>
        <w:tcPr>
          <w:tcW w:w="0" w:type="pct"/>
        </w:tcPr>
        <w:p w14:paraId="425F391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A1D4F1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170003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0C6310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E539F9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B4E33" w14:paraId="2DBBFF82" w14:textId="77777777" w:rsidTr="009C1E9A">
      <w:trPr>
        <w:cantSplit/>
      </w:trPr>
      <w:tc>
        <w:tcPr>
          <w:tcW w:w="0" w:type="pct"/>
        </w:tcPr>
        <w:p w14:paraId="187C8BB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D0796FB" w14:textId="317F38ED" w:rsidR="00EC379B" w:rsidRPr="009C1E9A" w:rsidRDefault="00C9189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26894-D</w:t>
          </w:r>
        </w:p>
      </w:tc>
      <w:tc>
        <w:tcPr>
          <w:tcW w:w="2453" w:type="pct"/>
        </w:tcPr>
        <w:p w14:paraId="2738164B" w14:textId="32CD155E" w:rsidR="00EC379B" w:rsidRDefault="00C9189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C551A">
            <w:t>23.119.82</w:t>
          </w:r>
          <w:r>
            <w:fldChar w:fldCharType="end"/>
          </w:r>
        </w:p>
      </w:tc>
    </w:tr>
    <w:tr w:rsidR="002B4E33" w14:paraId="4BE05D51" w14:textId="77777777" w:rsidTr="009C1E9A">
      <w:trPr>
        <w:cantSplit/>
      </w:trPr>
      <w:tc>
        <w:tcPr>
          <w:tcW w:w="0" w:type="pct"/>
        </w:tcPr>
        <w:p w14:paraId="2045E3E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44538A3" w14:textId="54A21AD4" w:rsidR="00EC379B" w:rsidRPr="009C1E9A" w:rsidRDefault="00C91891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24751</w:t>
          </w:r>
        </w:p>
      </w:tc>
      <w:tc>
        <w:tcPr>
          <w:tcW w:w="2453" w:type="pct"/>
        </w:tcPr>
        <w:p w14:paraId="5E9A9AA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C2B156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B4E33" w14:paraId="55CEE56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968CB0F" w14:textId="77777777" w:rsidR="00EC379B" w:rsidRDefault="00C9189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442E81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D4407A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97C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7AF95" w14:textId="77777777" w:rsidR="00000000" w:rsidRDefault="00C91891">
      <w:r>
        <w:separator/>
      </w:r>
    </w:p>
  </w:footnote>
  <w:footnote w:type="continuationSeparator" w:id="0">
    <w:p w14:paraId="29B2269A" w14:textId="77777777" w:rsidR="00000000" w:rsidRDefault="00C91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6175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4D8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CC73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174C0"/>
    <w:multiLevelType w:val="hybridMultilevel"/>
    <w:tmpl w:val="5C5477D6"/>
    <w:lvl w:ilvl="0" w:tplc="1B2495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AE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9A14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76CE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E48D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124E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4A75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5EB2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A242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F7C04"/>
    <w:multiLevelType w:val="hybridMultilevel"/>
    <w:tmpl w:val="EB8040D2"/>
    <w:lvl w:ilvl="0" w:tplc="34E0FF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A434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BC00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E23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C061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D2AD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2E34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AF3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AEC6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132064">
    <w:abstractNumId w:val="0"/>
  </w:num>
  <w:num w:numId="2" w16cid:durableId="104468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C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2F15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B0D"/>
    <w:rsid w:val="000B6FEE"/>
    <w:rsid w:val="000C12C4"/>
    <w:rsid w:val="000C25C8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59F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404D"/>
    <w:rsid w:val="00115EE9"/>
    <w:rsid w:val="001169F9"/>
    <w:rsid w:val="00116A2E"/>
    <w:rsid w:val="00120797"/>
    <w:rsid w:val="001218D2"/>
    <w:rsid w:val="0012371B"/>
    <w:rsid w:val="001245C8"/>
    <w:rsid w:val="00124653"/>
    <w:rsid w:val="001247C5"/>
    <w:rsid w:val="0012777E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7C8F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1798"/>
    <w:rsid w:val="001E2CAD"/>
    <w:rsid w:val="001E34DB"/>
    <w:rsid w:val="001E37CD"/>
    <w:rsid w:val="001E4070"/>
    <w:rsid w:val="001E655E"/>
    <w:rsid w:val="001E6C03"/>
    <w:rsid w:val="001F3CB8"/>
    <w:rsid w:val="001F6B91"/>
    <w:rsid w:val="001F703C"/>
    <w:rsid w:val="00200B9E"/>
    <w:rsid w:val="00200BF5"/>
    <w:rsid w:val="002010D1"/>
    <w:rsid w:val="00201338"/>
    <w:rsid w:val="00203BB3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470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6EA8"/>
    <w:rsid w:val="00247D27"/>
    <w:rsid w:val="00250A50"/>
    <w:rsid w:val="00251ED5"/>
    <w:rsid w:val="0025207B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2EB"/>
    <w:rsid w:val="00281343"/>
    <w:rsid w:val="00281883"/>
    <w:rsid w:val="002874E3"/>
    <w:rsid w:val="00287656"/>
    <w:rsid w:val="00291518"/>
    <w:rsid w:val="00296FF0"/>
    <w:rsid w:val="00297473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4E33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3F1B"/>
    <w:rsid w:val="002E21B8"/>
    <w:rsid w:val="002E517D"/>
    <w:rsid w:val="002E7DF9"/>
    <w:rsid w:val="002F097B"/>
    <w:rsid w:val="002F2147"/>
    <w:rsid w:val="002F3111"/>
    <w:rsid w:val="002F4AEC"/>
    <w:rsid w:val="002F604A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1CD7"/>
    <w:rsid w:val="00333930"/>
    <w:rsid w:val="00333CB1"/>
    <w:rsid w:val="00336BA4"/>
    <w:rsid w:val="00336C7A"/>
    <w:rsid w:val="00337392"/>
    <w:rsid w:val="00337659"/>
    <w:rsid w:val="003427C9"/>
    <w:rsid w:val="00343A92"/>
    <w:rsid w:val="00344530"/>
    <w:rsid w:val="003446DC"/>
    <w:rsid w:val="00344745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5E87"/>
    <w:rsid w:val="00377E3D"/>
    <w:rsid w:val="003847E8"/>
    <w:rsid w:val="0038731D"/>
    <w:rsid w:val="00387B60"/>
    <w:rsid w:val="00390098"/>
    <w:rsid w:val="00392DA1"/>
    <w:rsid w:val="00393095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4D17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5416"/>
    <w:rsid w:val="0043190E"/>
    <w:rsid w:val="004324E9"/>
    <w:rsid w:val="00434AB3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48BF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0D4C"/>
    <w:rsid w:val="00532084"/>
    <w:rsid w:val="005336BD"/>
    <w:rsid w:val="00534A49"/>
    <w:rsid w:val="005363BB"/>
    <w:rsid w:val="0053649A"/>
    <w:rsid w:val="00540DAB"/>
    <w:rsid w:val="00541B98"/>
    <w:rsid w:val="00543374"/>
    <w:rsid w:val="00545548"/>
    <w:rsid w:val="00546923"/>
    <w:rsid w:val="00551CA6"/>
    <w:rsid w:val="00555034"/>
    <w:rsid w:val="005570D2"/>
    <w:rsid w:val="005614EF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281F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5C18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5FF8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70C1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65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C43"/>
    <w:rsid w:val="007D2DCC"/>
    <w:rsid w:val="007D47E1"/>
    <w:rsid w:val="007D7FCB"/>
    <w:rsid w:val="007E33B6"/>
    <w:rsid w:val="007E59E8"/>
    <w:rsid w:val="007F2C4A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59BB"/>
    <w:rsid w:val="00827678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500D"/>
    <w:rsid w:val="00855B7F"/>
    <w:rsid w:val="0085797D"/>
    <w:rsid w:val="00860020"/>
    <w:rsid w:val="008618E7"/>
    <w:rsid w:val="00861995"/>
    <w:rsid w:val="0086231A"/>
    <w:rsid w:val="0086477C"/>
    <w:rsid w:val="00864BAD"/>
    <w:rsid w:val="008661C2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5B28"/>
    <w:rsid w:val="008861EE"/>
    <w:rsid w:val="0088731C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2E44"/>
    <w:rsid w:val="008B3428"/>
    <w:rsid w:val="008B4A91"/>
    <w:rsid w:val="008B7785"/>
    <w:rsid w:val="008B79F2"/>
    <w:rsid w:val="008C0809"/>
    <w:rsid w:val="008C132C"/>
    <w:rsid w:val="008C3FD0"/>
    <w:rsid w:val="008C7559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3A79"/>
    <w:rsid w:val="0096482F"/>
    <w:rsid w:val="00964E3A"/>
    <w:rsid w:val="00967126"/>
    <w:rsid w:val="00970EAE"/>
    <w:rsid w:val="00971627"/>
    <w:rsid w:val="00972797"/>
    <w:rsid w:val="0097279D"/>
    <w:rsid w:val="00976837"/>
    <w:rsid w:val="00977194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22F"/>
    <w:rsid w:val="009B3476"/>
    <w:rsid w:val="009B39BC"/>
    <w:rsid w:val="009B5069"/>
    <w:rsid w:val="009B69AD"/>
    <w:rsid w:val="009B7806"/>
    <w:rsid w:val="009C05C1"/>
    <w:rsid w:val="009C1E9A"/>
    <w:rsid w:val="009C1FAC"/>
    <w:rsid w:val="009C2A33"/>
    <w:rsid w:val="009C2DBF"/>
    <w:rsid w:val="009C2E49"/>
    <w:rsid w:val="009C36CD"/>
    <w:rsid w:val="009C43A5"/>
    <w:rsid w:val="009C551A"/>
    <w:rsid w:val="009C5A1D"/>
    <w:rsid w:val="009C6B08"/>
    <w:rsid w:val="009C70FC"/>
    <w:rsid w:val="009C75C2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0250"/>
    <w:rsid w:val="00A220FF"/>
    <w:rsid w:val="00A227E0"/>
    <w:rsid w:val="00A22FD9"/>
    <w:rsid w:val="00A232E4"/>
    <w:rsid w:val="00A24AAD"/>
    <w:rsid w:val="00A26A8A"/>
    <w:rsid w:val="00A27255"/>
    <w:rsid w:val="00A32304"/>
    <w:rsid w:val="00A3420E"/>
    <w:rsid w:val="00A35D66"/>
    <w:rsid w:val="00A402C1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4028"/>
    <w:rsid w:val="00AA597A"/>
    <w:rsid w:val="00AA66AD"/>
    <w:rsid w:val="00AA67A3"/>
    <w:rsid w:val="00AA7E52"/>
    <w:rsid w:val="00AB1608"/>
    <w:rsid w:val="00AB1655"/>
    <w:rsid w:val="00AB1873"/>
    <w:rsid w:val="00AB204B"/>
    <w:rsid w:val="00AB2C05"/>
    <w:rsid w:val="00AB3536"/>
    <w:rsid w:val="00AB474B"/>
    <w:rsid w:val="00AB5CCC"/>
    <w:rsid w:val="00AB74E2"/>
    <w:rsid w:val="00AC0EF1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0FBA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61F0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57C2"/>
    <w:rsid w:val="00BE71CD"/>
    <w:rsid w:val="00BE7748"/>
    <w:rsid w:val="00BE7BDA"/>
    <w:rsid w:val="00BF0548"/>
    <w:rsid w:val="00BF4949"/>
    <w:rsid w:val="00BF4D7C"/>
    <w:rsid w:val="00BF4D7D"/>
    <w:rsid w:val="00BF5085"/>
    <w:rsid w:val="00BF63B1"/>
    <w:rsid w:val="00BF6C93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891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5C70"/>
    <w:rsid w:val="00D66BA6"/>
    <w:rsid w:val="00D700B1"/>
    <w:rsid w:val="00D730FA"/>
    <w:rsid w:val="00D74BE3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65B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2AB2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5D56"/>
    <w:rsid w:val="00E76453"/>
    <w:rsid w:val="00E77353"/>
    <w:rsid w:val="00E775AE"/>
    <w:rsid w:val="00E8272C"/>
    <w:rsid w:val="00E827C7"/>
    <w:rsid w:val="00E83B8D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E7537"/>
    <w:rsid w:val="00EF10BA"/>
    <w:rsid w:val="00EF1738"/>
    <w:rsid w:val="00EF2BAF"/>
    <w:rsid w:val="00EF3B8F"/>
    <w:rsid w:val="00EF543E"/>
    <w:rsid w:val="00EF559F"/>
    <w:rsid w:val="00EF5AA2"/>
    <w:rsid w:val="00EF77EA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3401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6F5C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9356693-C006-4E25-AF7B-F01B7ADE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202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202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202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02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0250"/>
    <w:rPr>
      <w:b/>
      <w:bCs/>
    </w:rPr>
  </w:style>
  <w:style w:type="paragraph" w:styleId="Revision">
    <w:name w:val="Revision"/>
    <w:hidden/>
    <w:uiPriority w:val="99"/>
    <w:semiHidden/>
    <w:rsid w:val="00885B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3186</Characters>
  <Application>Microsoft Office Word</Application>
  <DocSecurity>4</DocSecurity>
  <Lines>74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SB01499 (Committee Report (Substituted))</vt:lpstr>
    </vt:vector>
  </TitlesOfParts>
  <Company>State of Texas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26894</dc:subject>
  <dc:creator>State of Texas</dc:creator>
  <dc:description>SB 1499 by Nichols-(H)Transportation (Substitute Document Number: 88R 24751)</dc:description>
  <cp:lastModifiedBy>Stacey Nicchio</cp:lastModifiedBy>
  <cp:revision>2</cp:revision>
  <cp:lastPrinted>2003-11-26T17:21:00Z</cp:lastPrinted>
  <dcterms:created xsi:type="dcterms:W3CDTF">2023-05-01T23:36:00Z</dcterms:created>
  <dcterms:modified xsi:type="dcterms:W3CDTF">2023-05-01T23:36:00Z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23.119.82</vt:lpwstr>
  </property>
</Properties>
</file>