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76EA" w:rsidRDefault="002F76E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DD6C86C43C943A3A8C795C63045F6A6"/>
          </w:placeholder>
        </w:sdtPr>
        <w:sdtContent>
          <w:r w:rsidRPr="005C2A78">
            <w:rPr>
              <w:rFonts w:cs="Times New Roman"/>
              <w:b/>
              <w:szCs w:val="24"/>
              <w:u w:val="single"/>
            </w:rPr>
            <w:t>BILL ANALYSIS</w:t>
          </w:r>
        </w:sdtContent>
      </w:sdt>
    </w:p>
    <w:p w:rsidR="002F76EA" w:rsidRPr="00585C31" w:rsidRDefault="002F76EA" w:rsidP="000F1DF9">
      <w:pPr>
        <w:spacing w:after="0" w:line="240" w:lineRule="auto"/>
        <w:rPr>
          <w:rFonts w:cs="Times New Roman"/>
          <w:szCs w:val="24"/>
        </w:rPr>
      </w:pPr>
    </w:p>
    <w:p w:rsidR="002F76EA" w:rsidRPr="00585C31" w:rsidRDefault="002F76E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F76EA" w:rsidTr="00A71C68">
        <w:tc>
          <w:tcPr>
            <w:tcW w:w="2718" w:type="dxa"/>
          </w:tcPr>
          <w:p w:rsidR="002F76EA" w:rsidRPr="005C2A78" w:rsidRDefault="002F76EA" w:rsidP="006D756B">
            <w:pPr>
              <w:rPr>
                <w:rFonts w:cs="Times New Roman"/>
                <w:szCs w:val="24"/>
              </w:rPr>
            </w:pPr>
            <w:sdt>
              <w:sdtPr>
                <w:rPr>
                  <w:rFonts w:cs="Times New Roman"/>
                  <w:szCs w:val="24"/>
                </w:rPr>
                <w:alias w:val="Agency Title"/>
                <w:tag w:val="AgencyTitleContentControl"/>
                <w:id w:val="1920747753"/>
                <w:lock w:val="sdtContentLocked"/>
                <w:placeholder>
                  <w:docPart w:val="94636A688A094F4F8F9AB965768E988F"/>
                </w:placeholder>
              </w:sdtPr>
              <w:sdtEndPr>
                <w:rPr>
                  <w:rFonts w:cstheme="minorBidi"/>
                  <w:szCs w:val="22"/>
                </w:rPr>
              </w:sdtEndPr>
              <w:sdtContent>
                <w:r>
                  <w:rPr>
                    <w:rFonts w:cs="Times New Roman"/>
                    <w:szCs w:val="24"/>
                  </w:rPr>
                  <w:t>Senate Research Center</w:t>
                </w:r>
              </w:sdtContent>
            </w:sdt>
          </w:p>
        </w:tc>
        <w:tc>
          <w:tcPr>
            <w:tcW w:w="6858" w:type="dxa"/>
          </w:tcPr>
          <w:p w:rsidR="002F76EA" w:rsidRPr="00FF6471" w:rsidRDefault="002F76EA" w:rsidP="000F1DF9">
            <w:pPr>
              <w:jc w:val="right"/>
              <w:rPr>
                <w:rFonts w:cs="Times New Roman"/>
                <w:szCs w:val="24"/>
              </w:rPr>
            </w:pPr>
            <w:sdt>
              <w:sdtPr>
                <w:rPr>
                  <w:rFonts w:cs="Times New Roman"/>
                  <w:szCs w:val="24"/>
                </w:rPr>
                <w:alias w:val="Bill Number"/>
                <w:tag w:val="BillNumberOne"/>
                <w:id w:val="-410784069"/>
                <w:lock w:val="sdtContentLocked"/>
                <w:placeholder>
                  <w:docPart w:val="3C9C5A3E03BD40BDB9045589262C82FA"/>
                </w:placeholder>
              </w:sdtPr>
              <w:sdtContent>
                <w:r>
                  <w:rPr>
                    <w:rFonts w:cs="Times New Roman"/>
                    <w:szCs w:val="24"/>
                  </w:rPr>
                  <w:t>S.B. 1584</w:t>
                </w:r>
              </w:sdtContent>
            </w:sdt>
          </w:p>
        </w:tc>
      </w:tr>
      <w:tr w:rsidR="002F76EA" w:rsidTr="00A71C68">
        <w:sdt>
          <w:sdtPr>
            <w:rPr>
              <w:rFonts w:cs="Times New Roman"/>
              <w:szCs w:val="24"/>
            </w:rPr>
            <w:alias w:val="TLCNumber"/>
            <w:tag w:val="TLCNumber"/>
            <w:id w:val="-542600604"/>
            <w:lock w:val="sdtLocked"/>
            <w:placeholder>
              <w:docPart w:val="3AC81985673147349FA55BFBDEE561E7"/>
            </w:placeholder>
          </w:sdtPr>
          <w:sdtContent>
            <w:tc>
              <w:tcPr>
                <w:tcW w:w="2718" w:type="dxa"/>
              </w:tcPr>
              <w:p w:rsidR="002F76EA" w:rsidRPr="000F1DF9" w:rsidRDefault="002F76EA" w:rsidP="00C65088">
                <w:pPr>
                  <w:rPr>
                    <w:rFonts w:cs="Times New Roman"/>
                    <w:szCs w:val="24"/>
                  </w:rPr>
                </w:pPr>
                <w:r>
                  <w:t>88R12884 SRA-D</w:t>
                </w:r>
              </w:p>
            </w:tc>
          </w:sdtContent>
        </w:sdt>
        <w:tc>
          <w:tcPr>
            <w:tcW w:w="6858" w:type="dxa"/>
          </w:tcPr>
          <w:p w:rsidR="002F76EA" w:rsidRPr="005C2A78" w:rsidRDefault="002F76EA" w:rsidP="00073EDD">
            <w:pPr>
              <w:jc w:val="right"/>
              <w:rPr>
                <w:rFonts w:cs="Times New Roman"/>
                <w:szCs w:val="24"/>
              </w:rPr>
            </w:pPr>
            <w:sdt>
              <w:sdtPr>
                <w:rPr>
                  <w:rFonts w:cs="Times New Roman"/>
                  <w:szCs w:val="24"/>
                </w:rPr>
                <w:alias w:val="Author Label"/>
                <w:tag w:val="By"/>
                <w:id w:val="72399597"/>
                <w:lock w:val="sdtLocked"/>
                <w:placeholder>
                  <w:docPart w:val="4F06D3E411734F54AC2E6AC338E9A82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757399295744EDEA7A60255DB2A47B7"/>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C4CC7D29C7B943BAA7D6FE46B636E203"/>
                </w:placeholder>
                <w:showingPlcHdr/>
              </w:sdtPr>
              <w:sdtContent/>
            </w:sdt>
            <w:sdt>
              <w:sdtPr>
                <w:rPr>
                  <w:rFonts w:cs="Times New Roman"/>
                  <w:szCs w:val="24"/>
                </w:rPr>
                <w:alias w:val="DualSponsor"/>
                <w:tag w:val="DualSponsor"/>
                <w:id w:val="1029379812"/>
                <w:lock w:val="sdtContentLocked"/>
                <w:placeholder>
                  <w:docPart w:val="80DA49A2812140EAB891F47E01A9DF82"/>
                </w:placeholder>
                <w:showingPlcHdr/>
              </w:sdtPr>
              <w:sdtContent/>
            </w:sdt>
          </w:p>
        </w:tc>
      </w:tr>
      <w:tr w:rsidR="002F76EA" w:rsidTr="00A71C68">
        <w:tc>
          <w:tcPr>
            <w:tcW w:w="2718" w:type="dxa"/>
          </w:tcPr>
          <w:p w:rsidR="002F76EA" w:rsidRPr="00BC7495" w:rsidRDefault="002F76EA" w:rsidP="000F1DF9">
            <w:pPr>
              <w:rPr>
                <w:rFonts w:cs="Times New Roman"/>
                <w:szCs w:val="24"/>
              </w:rPr>
            </w:pPr>
          </w:p>
        </w:tc>
        <w:sdt>
          <w:sdtPr>
            <w:rPr>
              <w:rFonts w:cs="Times New Roman"/>
              <w:szCs w:val="24"/>
            </w:rPr>
            <w:alias w:val="Committee"/>
            <w:tag w:val="Committee"/>
            <w:id w:val="1914272295"/>
            <w:lock w:val="sdtContentLocked"/>
            <w:placeholder>
              <w:docPart w:val="845BACD9DDBF4BE3BCAAA434C0AE5309"/>
            </w:placeholder>
          </w:sdtPr>
          <w:sdtContent>
            <w:tc>
              <w:tcPr>
                <w:tcW w:w="6858" w:type="dxa"/>
              </w:tcPr>
              <w:p w:rsidR="002F76EA" w:rsidRPr="00FF6471" w:rsidRDefault="002F76EA" w:rsidP="000F1DF9">
                <w:pPr>
                  <w:jc w:val="right"/>
                  <w:rPr>
                    <w:rFonts w:cs="Times New Roman"/>
                    <w:szCs w:val="24"/>
                  </w:rPr>
                </w:pPr>
                <w:r>
                  <w:rPr>
                    <w:rFonts w:cs="Times New Roman"/>
                    <w:szCs w:val="24"/>
                  </w:rPr>
                  <w:t>Health &amp; Human Services</w:t>
                </w:r>
              </w:p>
            </w:tc>
          </w:sdtContent>
        </w:sdt>
      </w:tr>
      <w:tr w:rsidR="002F76EA" w:rsidTr="00A71C68">
        <w:tc>
          <w:tcPr>
            <w:tcW w:w="2718" w:type="dxa"/>
          </w:tcPr>
          <w:p w:rsidR="002F76EA" w:rsidRPr="00BC7495" w:rsidRDefault="002F76EA" w:rsidP="000F1DF9">
            <w:pPr>
              <w:rPr>
                <w:rFonts w:cs="Times New Roman"/>
                <w:szCs w:val="24"/>
              </w:rPr>
            </w:pPr>
          </w:p>
        </w:tc>
        <w:sdt>
          <w:sdtPr>
            <w:rPr>
              <w:rFonts w:cs="Times New Roman"/>
              <w:szCs w:val="24"/>
            </w:rPr>
            <w:alias w:val="Date"/>
            <w:tag w:val="DateContentControl"/>
            <w:id w:val="1178081906"/>
            <w:lock w:val="sdtLocked"/>
            <w:placeholder>
              <w:docPart w:val="8791F01EAFA8417A8805C85ED1A1A61A"/>
            </w:placeholder>
            <w:date w:fullDate="2023-04-28T00:00:00Z">
              <w:dateFormat w:val="M/d/yyyy"/>
              <w:lid w:val="en-US"/>
              <w:storeMappedDataAs w:val="dateTime"/>
              <w:calendar w:val="gregorian"/>
            </w:date>
          </w:sdtPr>
          <w:sdtContent>
            <w:tc>
              <w:tcPr>
                <w:tcW w:w="6858" w:type="dxa"/>
              </w:tcPr>
              <w:p w:rsidR="002F76EA" w:rsidRPr="00FF6471" w:rsidRDefault="002F76EA" w:rsidP="000F1DF9">
                <w:pPr>
                  <w:jc w:val="right"/>
                  <w:rPr>
                    <w:rFonts w:cs="Times New Roman"/>
                    <w:szCs w:val="24"/>
                  </w:rPr>
                </w:pPr>
                <w:r>
                  <w:rPr>
                    <w:rFonts w:cs="Times New Roman"/>
                    <w:szCs w:val="24"/>
                  </w:rPr>
                  <w:t>4/28/2023</w:t>
                </w:r>
              </w:p>
            </w:tc>
          </w:sdtContent>
        </w:sdt>
      </w:tr>
      <w:tr w:rsidR="002F76EA" w:rsidTr="00A71C68">
        <w:tc>
          <w:tcPr>
            <w:tcW w:w="2718" w:type="dxa"/>
          </w:tcPr>
          <w:p w:rsidR="002F76EA" w:rsidRPr="00BC7495" w:rsidRDefault="002F76EA" w:rsidP="000F1DF9">
            <w:pPr>
              <w:rPr>
                <w:rFonts w:cs="Times New Roman"/>
                <w:szCs w:val="24"/>
              </w:rPr>
            </w:pPr>
          </w:p>
        </w:tc>
        <w:sdt>
          <w:sdtPr>
            <w:rPr>
              <w:rFonts w:cs="Times New Roman"/>
              <w:szCs w:val="24"/>
            </w:rPr>
            <w:alias w:val="BA Version"/>
            <w:tag w:val="BAVersion"/>
            <w:id w:val="-1685590809"/>
            <w:lock w:val="sdtContentLocked"/>
            <w:placeholder>
              <w:docPart w:val="04BC14526CB24A319CE19F5D9D94E8B8"/>
            </w:placeholder>
          </w:sdtPr>
          <w:sdtContent>
            <w:tc>
              <w:tcPr>
                <w:tcW w:w="6858" w:type="dxa"/>
              </w:tcPr>
              <w:p w:rsidR="002F76EA" w:rsidRPr="00FF6471" w:rsidRDefault="002F76EA" w:rsidP="000F1DF9">
                <w:pPr>
                  <w:jc w:val="right"/>
                  <w:rPr>
                    <w:rFonts w:cs="Times New Roman"/>
                    <w:szCs w:val="24"/>
                  </w:rPr>
                </w:pPr>
                <w:r>
                  <w:rPr>
                    <w:rFonts w:cs="Times New Roman"/>
                    <w:szCs w:val="24"/>
                  </w:rPr>
                  <w:t>As Filed</w:t>
                </w:r>
              </w:p>
            </w:tc>
          </w:sdtContent>
        </w:sdt>
      </w:tr>
    </w:tbl>
    <w:p w:rsidR="002F76EA" w:rsidRPr="00FF6471" w:rsidRDefault="002F76EA" w:rsidP="000F1DF9">
      <w:pPr>
        <w:spacing w:after="0" w:line="240" w:lineRule="auto"/>
        <w:rPr>
          <w:rFonts w:cs="Times New Roman"/>
          <w:szCs w:val="24"/>
        </w:rPr>
      </w:pPr>
    </w:p>
    <w:p w:rsidR="002F76EA" w:rsidRPr="00FF6471" w:rsidRDefault="002F76EA" w:rsidP="000F1DF9">
      <w:pPr>
        <w:spacing w:after="0" w:line="240" w:lineRule="auto"/>
        <w:rPr>
          <w:rFonts w:cs="Times New Roman"/>
          <w:szCs w:val="24"/>
        </w:rPr>
      </w:pPr>
    </w:p>
    <w:p w:rsidR="002F76EA" w:rsidRPr="00FF6471" w:rsidRDefault="002F76E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A1C37BA845F46E4B5DED9304CAA2B8A"/>
        </w:placeholder>
      </w:sdtPr>
      <w:sdtContent>
        <w:p w:rsidR="002F76EA" w:rsidRDefault="002F76E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5B6AC9E5EDF4F00BC572CAB99BC65BE"/>
        </w:placeholder>
      </w:sdtPr>
      <w:sdtContent>
        <w:p w:rsidR="002F76EA" w:rsidRDefault="002F76EA" w:rsidP="002F76EA">
          <w:pPr>
            <w:pStyle w:val="NormalWeb"/>
            <w:spacing w:before="0" w:beforeAutospacing="0" w:after="0" w:afterAutospacing="0"/>
            <w:jc w:val="both"/>
            <w:divId w:val="866452419"/>
            <w:rPr>
              <w:rFonts w:eastAsia="Times New Roman"/>
              <w:bCs/>
            </w:rPr>
          </w:pPr>
        </w:p>
        <w:p w:rsidR="002F76EA" w:rsidRDefault="002F76EA" w:rsidP="002F76EA">
          <w:pPr>
            <w:pStyle w:val="NormalWeb"/>
            <w:spacing w:before="0" w:beforeAutospacing="0" w:after="0" w:afterAutospacing="0"/>
            <w:jc w:val="both"/>
            <w:divId w:val="866452419"/>
            <w:rPr>
              <w:color w:val="000000"/>
            </w:rPr>
          </w:pPr>
          <w:r w:rsidRPr="00A71C68">
            <w:rPr>
              <w:color w:val="000000"/>
            </w:rPr>
            <w:t>While autologous and directed donor blood donations have been available and utilized for decades in the healthcare system, it has become increasingly difficult to ensure that a blood recipient</w:t>
          </w:r>
          <w:r>
            <w:rPr>
              <w:color w:val="000000"/>
            </w:rPr>
            <w:t>'</w:t>
          </w:r>
          <w:r w:rsidRPr="00A71C68">
            <w:rPr>
              <w:color w:val="000000"/>
            </w:rPr>
            <w:t xml:space="preserve">s desire to receive </w:t>
          </w:r>
          <w:r>
            <w:rPr>
              <w:color w:val="000000"/>
            </w:rPr>
            <w:t>"</w:t>
          </w:r>
          <w:r w:rsidRPr="00A71C68">
            <w:rPr>
              <w:color w:val="000000"/>
            </w:rPr>
            <w:t>known donor</w:t>
          </w:r>
          <w:r>
            <w:rPr>
              <w:color w:val="000000"/>
            </w:rPr>
            <w:t>"</w:t>
          </w:r>
          <w:r w:rsidRPr="00A71C68">
            <w:rPr>
              <w:color w:val="000000"/>
            </w:rPr>
            <w:t xml:space="preserve"> status blood is actually achieved. Most frequently, this basic patient right is refused at point of service (e.g</w:t>
          </w:r>
          <w:r>
            <w:rPr>
              <w:color w:val="000000"/>
            </w:rPr>
            <w:t>.,</w:t>
          </w:r>
          <w:r w:rsidRPr="00A71C68">
            <w:rPr>
              <w:color w:val="000000"/>
            </w:rPr>
            <w:t xml:space="preserve"> hospital</w:t>
          </w:r>
          <w:r>
            <w:rPr>
              <w:color w:val="000000"/>
            </w:rPr>
            <w:t xml:space="preserve"> or </w:t>
          </w:r>
          <w:r w:rsidRPr="00A71C68">
            <w:rPr>
              <w:color w:val="000000"/>
            </w:rPr>
            <w:t>clinic) despite the following:</w:t>
          </w:r>
        </w:p>
        <w:p w:rsidR="002F76EA" w:rsidRPr="00A71C68" w:rsidRDefault="002F76EA" w:rsidP="002F76EA">
          <w:pPr>
            <w:pStyle w:val="NormalWeb"/>
            <w:spacing w:before="0" w:beforeAutospacing="0" w:after="0" w:afterAutospacing="0"/>
            <w:jc w:val="both"/>
            <w:divId w:val="866452419"/>
            <w:rPr>
              <w:color w:val="000000"/>
            </w:rPr>
          </w:pPr>
        </w:p>
        <w:p w:rsidR="002F76EA" w:rsidRDefault="002F76EA" w:rsidP="002F76EA">
          <w:pPr>
            <w:pStyle w:val="NormalWeb"/>
            <w:spacing w:before="0" w:beforeAutospacing="0" w:after="0" w:afterAutospacing="0"/>
            <w:ind w:left="720"/>
            <w:jc w:val="both"/>
            <w:divId w:val="866452419"/>
            <w:rPr>
              <w:color w:val="000000"/>
            </w:rPr>
          </w:pPr>
          <w:r w:rsidRPr="00A71C68">
            <w:rPr>
              <w:color w:val="000000"/>
            </w:rPr>
            <w:t>1. A patient</w:t>
          </w:r>
          <w:r>
            <w:rPr>
              <w:color w:val="000000"/>
            </w:rPr>
            <w:t>'</w:t>
          </w:r>
          <w:r w:rsidRPr="00A71C68">
            <w:rPr>
              <w:color w:val="000000"/>
            </w:rPr>
            <w:t>s doctor writes the order for the autologous or directed donor donation.</w:t>
          </w:r>
        </w:p>
        <w:p w:rsidR="002F76EA" w:rsidRPr="00A71C68" w:rsidRDefault="002F76EA" w:rsidP="002F76EA">
          <w:pPr>
            <w:pStyle w:val="NormalWeb"/>
            <w:spacing w:before="0" w:beforeAutospacing="0" w:after="0" w:afterAutospacing="0"/>
            <w:ind w:left="720"/>
            <w:jc w:val="both"/>
            <w:divId w:val="866452419"/>
            <w:rPr>
              <w:color w:val="000000"/>
            </w:rPr>
          </w:pPr>
        </w:p>
        <w:p w:rsidR="002F76EA" w:rsidRDefault="002F76EA" w:rsidP="002F76EA">
          <w:pPr>
            <w:pStyle w:val="NormalWeb"/>
            <w:spacing w:before="0" w:beforeAutospacing="0" w:after="0" w:afterAutospacing="0"/>
            <w:ind w:left="720"/>
            <w:jc w:val="both"/>
            <w:divId w:val="866452419"/>
            <w:rPr>
              <w:color w:val="000000"/>
            </w:rPr>
          </w:pPr>
          <w:r w:rsidRPr="00A71C68">
            <w:rPr>
              <w:color w:val="000000"/>
            </w:rPr>
            <w:t>2. Autologous and directed donor blood is legal, safe, and has a long history of prior use.</w:t>
          </w:r>
        </w:p>
        <w:p w:rsidR="002F76EA" w:rsidRPr="00A71C68" w:rsidRDefault="002F76EA" w:rsidP="002F76EA">
          <w:pPr>
            <w:pStyle w:val="NormalWeb"/>
            <w:spacing w:before="0" w:beforeAutospacing="0" w:after="0" w:afterAutospacing="0"/>
            <w:jc w:val="both"/>
            <w:divId w:val="866452419"/>
            <w:rPr>
              <w:color w:val="000000"/>
            </w:rPr>
          </w:pPr>
        </w:p>
        <w:p w:rsidR="002F76EA" w:rsidRPr="00A71C68" w:rsidRDefault="002F76EA" w:rsidP="002F76EA">
          <w:pPr>
            <w:pStyle w:val="NormalWeb"/>
            <w:spacing w:before="0" w:beforeAutospacing="0" w:after="0" w:afterAutospacing="0"/>
            <w:jc w:val="both"/>
            <w:divId w:val="866452419"/>
            <w:rPr>
              <w:color w:val="000000"/>
            </w:rPr>
          </w:pPr>
          <w:r w:rsidRPr="00A71C68">
            <w:rPr>
              <w:color w:val="000000"/>
            </w:rPr>
            <w:t>This bill would require hospitals to allow patients to use autologous and/or directed donor blood if a 72</w:t>
          </w:r>
          <w:r>
            <w:rPr>
              <w:color w:val="000000"/>
            </w:rPr>
            <w:t>-hour</w:t>
          </w:r>
          <w:r w:rsidRPr="00A71C68">
            <w:rPr>
              <w:color w:val="000000"/>
            </w:rPr>
            <w:t xml:space="preserve"> notice is provided to the hospital prior to a scheduled procedure and, for a direct blood donation, the patient provides the hospital a list of eligible blood donors. This will ensure a patien</w:t>
          </w:r>
          <w:r>
            <w:rPr>
              <w:color w:val="000000"/>
            </w:rPr>
            <w:t>t'</w:t>
          </w:r>
          <w:r w:rsidRPr="00A71C68">
            <w:rPr>
              <w:color w:val="000000"/>
            </w:rPr>
            <w:t>s freedom to make decisions regarding treatment options is honored.</w:t>
          </w:r>
        </w:p>
        <w:p w:rsidR="002F76EA" w:rsidRPr="00D70925" w:rsidRDefault="002F76EA" w:rsidP="002F76EA">
          <w:pPr>
            <w:spacing w:after="0" w:line="240" w:lineRule="auto"/>
            <w:jc w:val="both"/>
            <w:rPr>
              <w:rFonts w:eastAsia="Times New Roman" w:cs="Times New Roman"/>
              <w:bCs/>
              <w:szCs w:val="24"/>
            </w:rPr>
          </w:pPr>
        </w:p>
      </w:sdtContent>
    </w:sdt>
    <w:p w:rsidR="002F76EA" w:rsidRDefault="002F76E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1584 </w:t>
      </w:r>
      <w:bookmarkStart w:id="1" w:name="AmendsCurrentLaw"/>
      <w:bookmarkEnd w:id="1"/>
      <w:r>
        <w:rPr>
          <w:rFonts w:cs="Times New Roman"/>
          <w:szCs w:val="24"/>
        </w:rPr>
        <w:t>amends current law relating to certain autologous and direct blood donations.</w:t>
      </w:r>
    </w:p>
    <w:p w:rsidR="002F76EA" w:rsidRPr="00A71C68" w:rsidRDefault="002F76EA" w:rsidP="000F1DF9">
      <w:pPr>
        <w:spacing w:after="0" w:line="240" w:lineRule="auto"/>
        <w:jc w:val="both"/>
        <w:rPr>
          <w:rFonts w:eastAsia="Times New Roman" w:cs="Times New Roman"/>
          <w:szCs w:val="24"/>
        </w:rPr>
      </w:pPr>
    </w:p>
    <w:p w:rsidR="002F76EA" w:rsidRPr="005C2A78" w:rsidRDefault="002F76E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4CB50F1C3914A1A957BF07B576A3981"/>
          </w:placeholder>
        </w:sdtPr>
        <w:sdtContent>
          <w:r>
            <w:rPr>
              <w:rFonts w:eastAsia="Times New Roman" w:cs="Times New Roman"/>
              <w:b/>
              <w:szCs w:val="24"/>
              <w:u w:val="single"/>
            </w:rPr>
            <w:t>RULEMAKING AUTHORITY</w:t>
          </w:r>
        </w:sdtContent>
      </w:sdt>
    </w:p>
    <w:p w:rsidR="002F76EA" w:rsidRPr="006529C4" w:rsidRDefault="002F76EA" w:rsidP="00774EC7">
      <w:pPr>
        <w:spacing w:after="0" w:line="240" w:lineRule="auto"/>
        <w:jc w:val="both"/>
        <w:rPr>
          <w:rFonts w:cs="Times New Roman"/>
          <w:szCs w:val="24"/>
        </w:rPr>
      </w:pPr>
    </w:p>
    <w:p w:rsidR="002F76EA" w:rsidRPr="006529C4" w:rsidRDefault="002F76E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F76EA" w:rsidRPr="006529C4" w:rsidRDefault="002F76EA" w:rsidP="00774EC7">
      <w:pPr>
        <w:spacing w:after="0" w:line="240" w:lineRule="auto"/>
        <w:jc w:val="both"/>
        <w:rPr>
          <w:rFonts w:cs="Times New Roman"/>
          <w:szCs w:val="24"/>
        </w:rPr>
      </w:pPr>
    </w:p>
    <w:p w:rsidR="002F76EA" w:rsidRPr="005C2A78" w:rsidRDefault="002F76EA" w:rsidP="008B0D4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312AAF73B134FF3BFD01A98433AB702"/>
          </w:placeholder>
        </w:sdtPr>
        <w:sdtContent>
          <w:r>
            <w:rPr>
              <w:rFonts w:eastAsia="Times New Roman" w:cs="Times New Roman"/>
              <w:b/>
              <w:szCs w:val="24"/>
              <w:u w:val="single"/>
            </w:rPr>
            <w:t>SECTION BY SECTION ANALYSIS</w:t>
          </w:r>
        </w:sdtContent>
      </w:sdt>
    </w:p>
    <w:p w:rsidR="002F76EA" w:rsidRPr="005C2A78" w:rsidRDefault="002F76EA" w:rsidP="008B0D4E">
      <w:pPr>
        <w:spacing w:after="0" w:line="240" w:lineRule="auto"/>
        <w:jc w:val="both"/>
        <w:rPr>
          <w:rFonts w:eastAsia="Times New Roman" w:cs="Times New Roman"/>
          <w:szCs w:val="24"/>
        </w:rPr>
      </w:pPr>
    </w:p>
    <w:p w:rsidR="002F76EA" w:rsidRDefault="002F76EA" w:rsidP="008B0D4E">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A, Chapter 241, Health and Safety Code,</w:t>
      </w:r>
      <w:r w:rsidRPr="00A71C68">
        <w:t xml:space="preserve"> </w:t>
      </w:r>
      <w:r>
        <w:t>by adding Section 241.013, as follows:</w:t>
      </w:r>
    </w:p>
    <w:p w:rsidR="002F76EA" w:rsidRDefault="002F76EA" w:rsidP="008B0D4E">
      <w:pPr>
        <w:spacing w:after="0" w:line="240" w:lineRule="auto"/>
        <w:jc w:val="both"/>
      </w:pPr>
    </w:p>
    <w:p w:rsidR="002F76EA" w:rsidRPr="005C2A78" w:rsidRDefault="002F76EA" w:rsidP="008B0D4E">
      <w:pPr>
        <w:spacing w:after="0" w:line="240" w:lineRule="auto"/>
        <w:ind w:left="720"/>
        <w:jc w:val="both"/>
        <w:rPr>
          <w:rFonts w:eastAsia="Times New Roman" w:cs="Times New Roman"/>
          <w:szCs w:val="24"/>
        </w:rPr>
      </w:pPr>
      <w:r>
        <w:t>Sec. 241.013. AUTOLOGOUS AND DIRECT BLOOD DONATIONS. Requires a hospital licensed under Chapter 241 (Hospitals) to allow an individual on whom a medical procedure is to be performed to provide an autologous or direct blood donation for the medical procedure if, not less than 72 hours before the time the medical procedure is scheduled to be performed, the individual notifies the hospital of the intention to provide an autologous or direct blood donation for the medical procedure and, for a direct blood donation, provides the hospital a list of eligible blood donors.</w:t>
      </w:r>
    </w:p>
    <w:p w:rsidR="002F76EA" w:rsidRPr="005C2A78" w:rsidRDefault="002F76EA" w:rsidP="008B0D4E">
      <w:pPr>
        <w:spacing w:after="0" w:line="240" w:lineRule="auto"/>
        <w:jc w:val="both"/>
        <w:rPr>
          <w:rFonts w:eastAsia="Times New Roman" w:cs="Times New Roman"/>
          <w:szCs w:val="24"/>
        </w:rPr>
      </w:pPr>
    </w:p>
    <w:p w:rsidR="002F76EA" w:rsidRPr="00C8671F" w:rsidRDefault="002F76EA" w:rsidP="008B0D4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2F76E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1037" w:rsidRDefault="000D1037" w:rsidP="000F1DF9">
      <w:pPr>
        <w:spacing w:after="0" w:line="240" w:lineRule="auto"/>
      </w:pPr>
      <w:r>
        <w:separator/>
      </w:r>
    </w:p>
  </w:endnote>
  <w:endnote w:type="continuationSeparator" w:id="0">
    <w:p w:rsidR="000D1037" w:rsidRDefault="000D103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D103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F76EA">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F76EA">
                <w:rPr>
                  <w:sz w:val="20"/>
                  <w:szCs w:val="20"/>
                </w:rPr>
                <w:t>S.B. 1584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F76E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D103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1037" w:rsidRDefault="000D1037" w:rsidP="000F1DF9">
      <w:pPr>
        <w:spacing w:after="0" w:line="240" w:lineRule="auto"/>
      </w:pPr>
      <w:r>
        <w:separator/>
      </w:r>
    </w:p>
  </w:footnote>
  <w:footnote w:type="continuationSeparator" w:id="0">
    <w:p w:rsidR="000D1037" w:rsidRDefault="000D103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D1037"/>
    <w:rsid w:val="000E552E"/>
    <w:rsid w:val="000F1DF9"/>
    <w:rsid w:val="002355A9"/>
    <w:rsid w:val="00257C49"/>
    <w:rsid w:val="002F76EA"/>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AEFC5"/>
  <w15:docId w15:val="{9C1E1696-386A-45F9-863B-6A5AC5A2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F76E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4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DD6C86C43C943A3A8C795C63045F6A6"/>
        <w:category>
          <w:name w:val="General"/>
          <w:gallery w:val="placeholder"/>
        </w:category>
        <w:types>
          <w:type w:val="bbPlcHdr"/>
        </w:types>
        <w:behaviors>
          <w:behavior w:val="content"/>
        </w:behaviors>
        <w:guid w:val="{6F145C28-24BA-4D46-B277-3037A3F452BA}"/>
      </w:docPartPr>
      <w:docPartBody>
        <w:p w:rsidR="00000000" w:rsidRDefault="00242573"/>
      </w:docPartBody>
    </w:docPart>
    <w:docPart>
      <w:docPartPr>
        <w:name w:val="94636A688A094F4F8F9AB965768E988F"/>
        <w:category>
          <w:name w:val="General"/>
          <w:gallery w:val="placeholder"/>
        </w:category>
        <w:types>
          <w:type w:val="bbPlcHdr"/>
        </w:types>
        <w:behaviors>
          <w:behavior w:val="content"/>
        </w:behaviors>
        <w:guid w:val="{58C4D6DE-016C-4191-9C56-9D322E2D715C}"/>
      </w:docPartPr>
      <w:docPartBody>
        <w:p w:rsidR="00000000" w:rsidRDefault="00242573"/>
      </w:docPartBody>
    </w:docPart>
    <w:docPart>
      <w:docPartPr>
        <w:name w:val="3C9C5A3E03BD40BDB9045589262C82FA"/>
        <w:category>
          <w:name w:val="General"/>
          <w:gallery w:val="placeholder"/>
        </w:category>
        <w:types>
          <w:type w:val="bbPlcHdr"/>
        </w:types>
        <w:behaviors>
          <w:behavior w:val="content"/>
        </w:behaviors>
        <w:guid w:val="{35C138FB-1AEF-410B-86C8-4815D09912A0}"/>
      </w:docPartPr>
      <w:docPartBody>
        <w:p w:rsidR="00000000" w:rsidRDefault="00242573"/>
      </w:docPartBody>
    </w:docPart>
    <w:docPart>
      <w:docPartPr>
        <w:name w:val="3AC81985673147349FA55BFBDEE561E7"/>
        <w:category>
          <w:name w:val="General"/>
          <w:gallery w:val="placeholder"/>
        </w:category>
        <w:types>
          <w:type w:val="bbPlcHdr"/>
        </w:types>
        <w:behaviors>
          <w:behavior w:val="content"/>
        </w:behaviors>
        <w:guid w:val="{2FF5EF29-91C4-486D-9293-4CC8A43FE421}"/>
      </w:docPartPr>
      <w:docPartBody>
        <w:p w:rsidR="00000000" w:rsidRDefault="00242573"/>
      </w:docPartBody>
    </w:docPart>
    <w:docPart>
      <w:docPartPr>
        <w:name w:val="4F06D3E411734F54AC2E6AC338E9A828"/>
        <w:category>
          <w:name w:val="General"/>
          <w:gallery w:val="placeholder"/>
        </w:category>
        <w:types>
          <w:type w:val="bbPlcHdr"/>
        </w:types>
        <w:behaviors>
          <w:behavior w:val="content"/>
        </w:behaviors>
        <w:guid w:val="{701BFC86-868E-40A5-B8D9-FBD6D4C9BE84}"/>
      </w:docPartPr>
      <w:docPartBody>
        <w:p w:rsidR="00000000" w:rsidRDefault="00242573"/>
      </w:docPartBody>
    </w:docPart>
    <w:docPart>
      <w:docPartPr>
        <w:name w:val="3757399295744EDEA7A60255DB2A47B7"/>
        <w:category>
          <w:name w:val="General"/>
          <w:gallery w:val="placeholder"/>
        </w:category>
        <w:types>
          <w:type w:val="bbPlcHdr"/>
        </w:types>
        <w:behaviors>
          <w:behavior w:val="content"/>
        </w:behaviors>
        <w:guid w:val="{3DE4C873-85CF-4F5B-BF62-E6E6518E3B79}"/>
      </w:docPartPr>
      <w:docPartBody>
        <w:p w:rsidR="00000000" w:rsidRDefault="00242573"/>
      </w:docPartBody>
    </w:docPart>
    <w:docPart>
      <w:docPartPr>
        <w:name w:val="C4CC7D29C7B943BAA7D6FE46B636E203"/>
        <w:category>
          <w:name w:val="General"/>
          <w:gallery w:val="placeholder"/>
        </w:category>
        <w:types>
          <w:type w:val="bbPlcHdr"/>
        </w:types>
        <w:behaviors>
          <w:behavior w:val="content"/>
        </w:behaviors>
        <w:guid w:val="{CA9737C5-E531-4D68-B7C5-262400A33236}"/>
      </w:docPartPr>
      <w:docPartBody>
        <w:p w:rsidR="00000000" w:rsidRDefault="00242573"/>
      </w:docPartBody>
    </w:docPart>
    <w:docPart>
      <w:docPartPr>
        <w:name w:val="80DA49A2812140EAB891F47E01A9DF82"/>
        <w:category>
          <w:name w:val="General"/>
          <w:gallery w:val="placeholder"/>
        </w:category>
        <w:types>
          <w:type w:val="bbPlcHdr"/>
        </w:types>
        <w:behaviors>
          <w:behavior w:val="content"/>
        </w:behaviors>
        <w:guid w:val="{7421D5A2-DF1B-4170-B8BB-E2E1A849CD0E}"/>
      </w:docPartPr>
      <w:docPartBody>
        <w:p w:rsidR="00000000" w:rsidRDefault="00242573"/>
      </w:docPartBody>
    </w:docPart>
    <w:docPart>
      <w:docPartPr>
        <w:name w:val="845BACD9DDBF4BE3BCAAA434C0AE5309"/>
        <w:category>
          <w:name w:val="General"/>
          <w:gallery w:val="placeholder"/>
        </w:category>
        <w:types>
          <w:type w:val="bbPlcHdr"/>
        </w:types>
        <w:behaviors>
          <w:behavior w:val="content"/>
        </w:behaviors>
        <w:guid w:val="{0AC1401F-0926-40F2-8D44-DFC885CDB9FF}"/>
      </w:docPartPr>
      <w:docPartBody>
        <w:p w:rsidR="00000000" w:rsidRDefault="00242573"/>
      </w:docPartBody>
    </w:docPart>
    <w:docPart>
      <w:docPartPr>
        <w:name w:val="8791F01EAFA8417A8805C85ED1A1A61A"/>
        <w:category>
          <w:name w:val="General"/>
          <w:gallery w:val="placeholder"/>
        </w:category>
        <w:types>
          <w:type w:val="bbPlcHdr"/>
        </w:types>
        <w:behaviors>
          <w:behavior w:val="content"/>
        </w:behaviors>
        <w:guid w:val="{3F8B9D96-D090-4D20-9E65-3CE0696A3565}"/>
      </w:docPartPr>
      <w:docPartBody>
        <w:p w:rsidR="00000000" w:rsidRDefault="00E90355" w:rsidP="00E90355">
          <w:pPr>
            <w:pStyle w:val="8791F01EAFA8417A8805C85ED1A1A61A"/>
          </w:pPr>
          <w:r w:rsidRPr="00A30DD1">
            <w:rPr>
              <w:rStyle w:val="PlaceholderText"/>
            </w:rPr>
            <w:t>Click here to enter a date.</w:t>
          </w:r>
        </w:p>
      </w:docPartBody>
    </w:docPart>
    <w:docPart>
      <w:docPartPr>
        <w:name w:val="04BC14526CB24A319CE19F5D9D94E8B8"/>
        <w:category>
          <w:name w:val="General"/>
          <w:gallery w:val="placeholder"/>
        </w:category>
        <w:types>
          <w:type w:val="bbPlcHdr"/>
        </w:types>
        <w:behaviors>
          <w:behavior w:val="content"/>
        </w:behaviors>
        <w:guid w:val="{C6F4A6C6-F740-4C2B-9045-5ACD2D44DD11}"/>
      </w:docPartPr>
      <w:docPartBody>
        <w:p w:rsidR="00000000" w:rsidRDefault="00242573"/>
      </w:docPartBody>
    </w:docPart>
    <w:docPart>
      <w:docPartPr>
        <w:name w:val="EA1C37BA845F46E4B5DED9304CAA2B8A"/>
        <w:category>
          <w:name w:val="General"/>
          <w:gallery w:val="placeholder"/>
        </w:category>
        <w:types>
          <w:type w:val="bbPlcHdr"/>
        </w:types>
        <w:behaviors>
          <w:behavior w:val="content"/>
        </w:behaviors>
        <w:guid w:val="{A8AE6ADD-4D90-4F92-9AB2-93B9BB8ED057}"/>
      </w:docPartPr>
      <w:docPartBody>
        <w:p w:rsidR="00000000" w:rsidRDefault="00242573"/>
      </w:docPartBody>
    </w:docPart>
    <w:docPart>
      <w:docPartPr>
        <w:name w:val="A5B6AC9E5EDF4F00BC572CAB99BC65BE"/>
        <w:category>
          <w:name w:val="General"/>
          <w:gallery w:val="placeholder"/>
        </w:category>
        <w:types>
          <w:type w:val="bbPlcHdr"/>
        </w:types>
        <w:behaviors>
          <w:behavior w:val="content"/>
        </w:behaviors>
        <w:guid w:val="{8850E20E-BB89-4151-AF1D-00BC58C23B6B}"/>
      </w:docPartPr>
      <w:docPartBody>
        <w:p w:rsidR="00000000" w:rsidRDefault="00E90355" w:rsidP="00E90355">
          <w:pPr>
            <w:pStyle w:val="A5B6AC9E5EDF4F00BC572CAB99BC65BE"/>
          </w:pPr>
          <w:r>
            <w:rPr>
              <w:rFonts w:eastAsia="Times New Roman" w:cs="Times New Roman"/>
              <w:bCs/>
              <w:szCs w:val="24"/>
            </w:rPr>
            <w:t xml:space="preserve"> </w:t>
          </w:r>
        </w:p>
      </w:docPartBody>
    </w:docPart>
    <w:docPart>
      <w:docPartPr>
        <w:name w:val="64CB50F1C3914A1A957BF07B576A3981"/>
        <w:category>
          <w:name w:val="General"/>
          <w:gallery w:val="placeholder"/>
        </w:category>
        <w:types>
          <w:type w:val="bbPlcHdr"/>
        </w:types>
        <w:behaviors>
          <w:behavior w:val="content"/>
        </w:behaviors>
        <w:guid w:val="{9A0E9A15-C014-422E-843D-97E086EA293F}"/>
      </w:docPartPr>
      <w:docPartBody>
        <w:p w:rsidR="00000000" w:rsidRDefault="00242573"/>
      </w:docPartBody>
    </w:docPart>
    <w:docPart>
      <w:docPartPr>
        <w:name w:val="F312AAF73B134FF3BFD01A98433AB702"/>
        <w:category>
          <w:name w:val="General"/>
          <w:gallery w:val="placeholder"/>
        </w:category>
        <w:types>
          <w:type w:val="bbPlcHdr"/>
        </w:types>
        <w:behaviors>
          <w:behavior w:val="content"/>
        </w:behaviors>
        <w:guid w:val="{433A3854-6444-4E05-871B-9E92AA6C9750}"/>
      </w:docPartPr>
      <w:docPartBody>
        <w:p w:rsidR="00000000" w:rsidRDefault="002425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257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9035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355"/>
    <w:rPr>
      <w:color w:val="808080"/>
    </w:rPr>
  </w:style>
  <w:style w:type="paragraph" w:customStyle="1" w:styleId="8791F01EAFA8417A8805C85ED1A1A61A">
    <w:name w:val="8791F01EAFA8417A8805C85ED1A1A61A"/>
    <w:rsid w:val="00E90355"/>
    <w:pPr>
      <w:spacing w:after="160" w:line="259" w:lineRule="auto"/>
    </w:pPr>
  </w:style>
  <w:style w:type="paragraph" w:customStyle="1" w:styleId="A5B6AC9E5EDF4F00BC572CAB99BC65BE">
    <w:name w:val="A5B6AC9E5EDF4F00BC572CAB99BC65BE"/>
    <w:rsid w:val="00E9035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318</Words>
  <Characters>1819</Characters>
  <Application>Microsoft Office Word</Application>
  <DocSecurity>0</DocSecurity>
  <Lines>15</Lines>
  <Paragraphs>4</Paragraphs>
  <ScaleCrop>false</ScaleCrop>
  <Company>Texas Legislative Council</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2023-04-28T20:46:00Z</dcterms:modified>
</cp:coreProperties>
</file>

<file path=docProps/custom.xml><?xml version="1.0" encoding="utf-8"?>
<op:Properties xmlns:vt="http://schemas.openxmlformats.org/officeDocument/2006/docPropsVTypes" xmlns:op="http://schemas.openxmlformats.org/officeDocument/2006/custom-properties"/>
</file>