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C497B" w14:paraId="6177B882" w14:textId="77777777" w:rsidTr="00345119">
        <w:tc>
          <w:tcPr>
            <w:tcW w:w="9576" w:type="dxa"/>
            <w:noWrap/>
          </w:tcPr>
          <w:p w14:paraId="32362009" w14:textId="77777777" w:rsidR="008423E4" w:rsidRPr="0022177D" w:rsidRDefault="00416BD9" w:rsidP="000B3B2B">
            <w:pPr>
              <w:pStyle w:val="Heading1"/>
            </w:pPr>
            <w:r w:rsidRPr="00631897">
              <w:t>BILL ANALYSIS</w:t>
            </w:r>
          </w:p>
        </w:tc>
      </w:tr>
    </w:tbl>
    <w:p w14:paraId="48EE38C1" w14:textId="77777777" w:rsidR="008423E4" w:rsidRPr="0022177D" w:rsidRDefault="008423E4" w:rsidP="000B3B2B">
      <w:pPr>
        <w:jc w:val="center"/>
      </w:pPr>
    </w:p>
    <w:p w14:paraId="760422AB" w14:textId="77777777" w:rsidR="008423E4" w:rsidRPr="00B31F0E" w:rsidRDefault="008423E4" w:rsidP="000B3B2B"/>
    <w:p w14:paraId="17B3032B" w14:textId="77777777" w:rsidR="008423E4" w:rsidRPr="00742794" w:rsidRDefault="008423E4" w:rsidP="000B3B2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C497B" w14:paraId="4B8F0E03" w14:textId="77777777" w:rsidTr="00345119">
        <w:tc>
          <w:tcPr>
            <w:tcW w:w="9576" w:type="dxa"/>
          </w:tcPr>
          <w:p w14:paraId="498D44A3" w14:textId="77777777" w:rsidR="008423E4" w:rsidRPr="00861995" w:rsidRDefault="00416BD9" w:rsidP="000B3B2B">
            <w:pPr>
              <w:jc w:val="right"/>
            </w:pPr>
            <w:r>
              <w:t>S.B. 1670</w:t>
            </w:r>
          </w:p>
        </w:tc>
      </w:tr>
      <w:tr w:rsidR="004C497B" w14:paraId="4979A734" w14:textId="77777777" w:rsidTr="00345119">
        <w:tc>
          <w:tcPr>
            <w:tcW w:w="9576" w:type="dxa"/>
          </w:tcPr>
          <w:p w14:paraId="4A19590A" w14:textId="77777777" w:rsidR="008423E4" w:rsidRPr="00861995" w:rsidRDefault="00416BD9" w:rsidP="000B3B2B">
            <w:pPr>
              <w:jc w:val="right"/>
            </w:pPr>
            <w:r>
              <w:t xml:space="preserve">By: </w:t>
            </w:r>
            <w:r w:rsidR="00634852">
              <w:t>LaMantia</w:t>
            </w:r>
          </w:p>
        </w:tc>
      </w:tr>
      <w:tr w:rsidR="004C497B" w14:paraId="1CC6BF7C" w14:textId="77777777" w:rsidTr="00345119">
        <w:tc>
          <w:tcPr>
            <w:tcW w:w="9576" w:type="dxa"/>
          </w:tcPr>
          <w:p w14:paraId="5B10562C" w14:textId="77777777" w:rsidR="008423E4" w:rsidRPr="00861995" w:rsidRDefault="00416BD9" w:rsidP="000B3B2B">
            <w:pPr>
              <w:jc w:val="right"/>
            </w:pPr>
            <w:r>
              <w:t>Culture, Recreation &amp; Tourism</w:t>
            </w:r>
          </w:p>
        </w:tc>
      </w:tr>
      <w:tr w:rsidR="004C497B" w14:paraId="728CD3B0" w14:textId="77777777" w:rsidTr="00345119">
        <w:tc>
          <w:tcPr>
            <w:tcW w:w="9576" w:type="dxa"/>
          </w:tcPr>
          <w:p w14:paraId="0FACC84C" w14:textId="77777777" w:rsidR="008423E4" w:rsidRDefault="00416BD9" w:rsidP="000B3B2B">
            <w:pPr>
              <w:jc w:val="right"/>
            </w:pPr>
            <w:r>
              <w:t>Committee Report (Unamended)</w:t>
            </w:r>
          </w:p>
        </w:tc>
      </w:tr>
    </w:tbl>
    <w:p w14:paraId="1FA1FD1A" w14:textId="77777777" w:rsidR="008423E4" w:rsidRDefault="008423E4" w:rsidP="000B3B2B">
      <w:pPr>
        <w:tabs>
          <w:tab w:val="right" w:pos="9360"/>
        </w:tabs>
      </w:pPr>
    </w:p>
    <w:p w14:paraId="24779328" w14:textId="77777777" w:rsidR="008423E4" w:rsidRDefault="008423E4" w:rsidP="000B3B2B"/>
    <w:p w14:paraId="1A552EAA" w14:textId="77777777" w:rsidR="008423E4" w:rsidRDefault="008423E4" w:rsidP="000B3B2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C497B" w14:paraId="794F1BD0" w14:textId="77777777" w:rsidTr="00345119">
        <w:tc>
          <w:tcPr>
            <w:tcW w:w="9576" w:type="dxa"/>
          </w:tcPr>
          <w:p w14:paraId="50EBEE06" w14:textId="77777777" w:rsidR="008423E4" w:rsidRPr="00A8133F" w:rsidRDefault="00416BD9" w:rsidP="000B3B2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61733DA" w14:textId="77777777" w:rsidR="008423E4" w:rsidRDefault="008423E4" w:rsidP="000B3B2B"/>
          <w:p w14:paraId="432CD33D" w14:textId="70973996" w:rsidR="008423E4" w:rsidRDefault="00416BD9" w:rsidP="000B3B2B">
            <w:pPr>
              <w:pStyle w:val="Header"/>
              <w:jc w:val="both"/>
            </w:pPr>
            <w:r>
              <w:t xml:space="preserve">Under </w:t>
            </w:r>
            <w:r w:rsidR="00DA7C74">
              <w:t>the Texas Water Safety Act, a reportable</w:t>
            </w:r>
            <w:r w:rsidR="00ED655A">
              <w:t xml:space="preserve"> boating</w:t>
            </w:r>
            <w:r w:rsidR="00DA7C74">
              <w:t xml:space="preserve"> incident must meet criteria including at least $2,000 in damages</w:t>
            </w:r>
            <w:r w:rsidR="007E4A46">
              <w:t xml:space="preserve"> or</w:t>
            </w:r>
            <w:r w:rsidR="00ED655A">
              <w:t xml:space="preserve"> </w:t>
            </w:r>
            <w:r w:rsidR="00DA7C74">
              <w:t>injur</w:t>
            </w:r>
            <w:r w:rsidR="007E4A46">
              <w:t xml:space="preserve">y to </w:t>
            </w:r>
            <w:r w:rsidR="00DA7C74">
              <w:t xml:space="preserve">or </w:t>
            </w:r>
            <w:r w:rsidR="00ED655A">
              <w:t xml:space="preserve">the </w:t>
            </w:r>
            <w:r w:rsidR="00DA7C74">
              <w:t xml:space="preserve">death of a person. </w:t>
            </w:r>
            <w:r w:rsidR="00ED655A">
              <w:t xml:space="preserve">Because there </w:t>
            </w:r>
            <w:r>
              <w:t xml:space="preserve">is </w:t>
            </w:r>
            <w:r w:rsidR="00DA7C74">
              <w:t>such a high threshold</w:t>
            </w:r>
            <w:r w:rsidR="00ED655A">
              <w:t xml:space="preserve"> for incidents to qualify as incidents requiring reporting</w:t>
            </w:r>
            <w:r w:rsidR="00DA7C74">
              <w:t>, multiple parties need access to information about the incident. However, information related to boating incident</w:t>
            </w:r>
            <w:r>
              <w:t>s</w:t>
            </w:r>
            <w:r w:rsidR="00DA7C74">
              <w:t xml:space="preserve"> can currently only be released to </w:t>
            </w:r>
            <w:r w:rsidR="00ED655A">
              <w:t xml:space="preserve">the </w:t>
            </w:r>
            <w:r w:rsidR="00DA7C74">
              <w:t xml:space="preserve">boat operators involved. This </w:t>
            </w:r>
            <w:r w:rsidR="00ED655A">
              <w:t xml:space="preserve">means </w:t>
            </w:r>
            <w:r w:rsidR="00DA7C74">
              <w:t xml:space="preserve">relevant parties like injured passengers, the family of the deceased, legal guardians, employers, and insurance providers </w:t>
            </w:r>
            <w:r w:rsidR="00ED655A">
              <w:t xml:space="preserve">are excluded </w:t>
            </w:r>
            <w:r w:rsidR="00DA7C74">
              <w:t>from accessing the reports. S</w:t>
            </w:r>
            <w:r w:rsidR="00ED655A">
              <w:t>.</w:t>
            </w:r>
            <w:r w:rsidR="00DA7C74">
              <w:t>B</w:t>
            </w:r>
            <w:r w:rsidR="00ED655A">
              <w:t>.</w:t>
            </w:r>
            <w:r w:rsidR="00DA7C74">
              <w:t xml:space="preserve"> </w:t>
            </w:r>
            <w:r>
              <w:t xml:space="preserve">1670 </w:t>
            </w:r>
            <w:r w:rsidR="00ED655A">
              <w:t xml:space="preserve">seeks to address this issue by </w:t>
            </w:r>
            <w:r w:rsidR="00DA7C74">
              <w:t>provid</w:t>
            </w:r>
            <w:r w:rsidR="00ED655A">
              <w:t xml:space="preserve">ing </w:t>
            </w:r>
            <w:r w:rsidR="00DA7C74">
              <w:t xml:space="preserve">clear parameters for disclosing </w:t>
            </w:r>
            <w:r>
              <w:t>b</w:t>
            </w:r>
            <w:r w:rsidR="00DA7C74">
              <w:t xml:space="preserve">oating </w:t>
            </w:r>
            <w:r>
              <w:t>incident reports, which will</w:t>
            </w:r>
            <w:r w:rsidR="00DA7C74">
              <w:t xml:space="preserve"> allow for information to be released to parties that need to know about the accident.</w:t>
            </w:r>
          </w:p>
          <w:p w14:paraId="29B0A8F9" w14:textId="77777777" w:rsidR="008423E4" w:rsidRPr="00E26B13" w:rsidRDefault="008423E4" w:rsidP="000B3B2B">
            <w:pPr>
              <w:rPr>
                <w:b/>
              </w:rPr>
            </w:pPr>
          </w:p>
        </w:tc>
      </w:tr>
      <w:tr w:rsidR="004C497B" w14:paraId="6D4DF7BA" w14:textId="77777777" w:rsidTr="00345119">
        <w:tc>
          <w:tcPr>
            <w:tcW w:w="9576" w:type="dxa"/>
          </w:tcPr>
          <w:p w14:paraId="6AEB0614" w14:textId="77777777" w:rsidR="0017725B" w:rsidRDefault="00416BD9" w:rsidP="000B3B2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</w:t>
            </w:r>
            <w:r>
              <w:rPr>
                <w:b/>
                <w:u w:val="single"/>
              </w:rPr>
              <w:t>AL JUSTICE IMPACT</w:t>
            </w:r>
          </w:p>
          <w:p w14:paraId="55550F7F" w14:textId="77777777" w:rsidR="0017725B" w:rsidRDefault="0017725B" w:rsidP="000B3B2B">
            <w:pPr>
              <w:rPr>
                <w:b/>
                <w:u w:val="single"/>
              </w:rPr>
            </w:pPr>
          </w:p>
          <w:p w14:paraId="65D8C359" w14:textId="47CB1D5A" w:rsidR="00331CC2" w:rsidRPr="00331CC2" w:rsidRDefault="00416BD9" w:rsidP="000B3B2B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community </w:t>
            </w:r>
            <w:r>
              <w:t>supervision, parole, or mandatory supervision.</w:t>
            </w:r>
          </w:p>
          <w:p w14:paraId="2ECC43B3" w14:textId="77777777" w:rsidR="0017725B" w:rsidRPr="0017725B" w:rsidRDefault="0017725B" w:rsidP="000B3B2B">
            <w:pPr>
              <w:rPr>
                <w:b/>
                <w:u w:val="single"/>
              </w:rPr>
            </w:pPr>
          </w:p>
        </w:tc>
      </w:tr>
      <w:tr w:rsidR="004C497B" w14:paraId="079A3AC3" w14:textId="77777777" w:rsidTr="00345119">
        <w:tc>
          <w:tcPr>
            <w:tcW w:w="9576" w:type="dxa"/>
          </w:tcPr>
          <w:p w14:paraId="63258245" w14:textId="77777777" w:rsidR="008423E4" w:rsidRPr="00A8133F" w:rsidRDefault="00416BD9" w:rsidP="000B3B2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0379E4" w14:textId="77777777" w:rsidR="008423E4" w:rsidRDefault="008423E4" w:rsidP="000B3B2B"/>
          <w:p w14:paraId="668A75CE" w14:textId="68D64E94" w:rsidR="00331CC2" w:rsidRDefault="00416BD9" w:rsidP="000B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98B7F2A" w14:textId="77777777" w:rsidR="008423E4" w:rsidRPr="00E21FDC" w:rsidRDefault="008423E4" w:rsidP="000B3B2B">
            <w:pPr>
              <w:rPr>
                <w:b/>
              </w:rPr>
            </w:pPr>
          </w:p>
        </w:tc>
      </w:tr>
      <w:tr w:rsidR="004C497B" w14:paraId="37068ACE" w14:textId="77777777" w:rsidTr="00345119">
        <w:tc>
          <w:tcPr>
            <w:tcW w:w="9576" w:type="dxa"/>
          </w:tcPr>
          <w:p w14:paraId="42CD0FC6" w14:textId="77777777" w:rsidR="008423E4" w:rsidRPr="00A8133F" w:rsidRDefault="00416BD9" w:rsidP="000B3B2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E2FCF7" w14:textId="77777777" w:rsidR="008423E4" w:rsidRDefault="008423E4" w:rsidP="000B3B2B"/>
          <w:p w14:paraId="7062C3DB" w14:textId="0A7F219A" w:rsidR="002A06F2" w:rsidRDefault="00416BD9" w:rsidP="000B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1670 </w:t>
            </w:r>
            <w:r w:rsidR="003049D7">
              <w:t xml:space="preserve">amends the Parks and Wildlife Code to revise provisions relating to required </w:t>
            </w:r>
            <w:r w:rsidR="00827B36">
              <w:t xml:space="preserve">reports of </w:t>
            </w:r>
            <w:r w:rsidR="003049D7">
              <w:t>boating incident</w:t>
            </w:r>
            <w:r w:rsidR="00827B36">
              <w:t>s</w:t>
            </w:r>
            <w:r w:rsidR="003049D7">
              <w:t xml:space="preserve"> </w:t>
            </w:r>
            <w:r w:rsidR="00827B36">
              <w:t>involving</w:t>
            </w:r>
            <w:r>
              <w:t xml:space="preserve"> </w:t>
            </w:r>
            <w:r w:rsidRPr="00726F3F">
              <w:t>a collision, accident, or other casualty that results in death or injury to a person or damage to property in excess o</w:t>
            </w:r>
            <w:r w:rsidR="00827B36">
              <w:t>f an</w:t>
            </w:r>
            <w:r w:rsidRPr="00726F3F">
              <w:t xml:space="preserve"> amount </w:t>
            </w:r>
            <w:r w:rsidR="003049D7" w:rsidRPr="003049D7">
              <w:t xml:space="preserve">set by the </w:t>
            </w:r>
            <w:r w:rsidR="00827B36">
              <w:t>Parks and Wildlife C</w:t>
            </w:r>
            <w:r w:rsidR="003049D7" w:rsidRPr="003049D7">
              <w:t>ommission</w:t>
            </w:r>
            <w:r w:rsidR="00827B36">
              <w:t xml:space="preserve"> as follows:</w:t>
            </w:r>
            <w:r>
              <w:t xml:space="preserve"> </w:t>
            </w:r>
          </w:p>
          <w:p w14:paraId="48D745E5" w14:textId="4C56ACC2" w:rsidR="002A06F2" w:rsidRDefault="00416BD9" w:rsidP="000B3B2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specifies that the injury </w:t>
            </w:r>
            <w:r w:rsidR="001A4DB0">
              <w:t>resulting from such</w:t>
            </w:r>
            <w:r>
              <w:t xml:space="preserve"> an incident that triggers the</w:t>
            </w:r>
            <w:r w:rsidR="001A4DB0">
              <w:t xml:space="preserve"> reporting</w:t>
            </w:r>
            <w:r>
              <w:t xml:space="preserve"> requirement is an i</w:t>
            </w:r>
            <w:r w:rsidRPr="002A06F2">
              <w:t>njury that requires medical treatment beyond the provision of first aid</w:t>
            </w:r>
            <w:r>
              <w:t>;</w:t>
            </w:r>
            <w:r w:rsidR="00100E40">
              <w:t xml:space="preserve"> </w:t>
            </w:r>
          </w:p>
          <w:p w14:paraId="715439B4" w14:textId="7AA5D803" w:rsidR="00100E40" w:rsidRDefault="00416BD9" w:rsidP="000B3B2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specifies </w:t>
            </w:r>
            <w:r w:rsidR="002A06F2">
              <w:t xml:space="preserve">the person </w:t>
            </w:r>
            <w:r>
              <w:t>to</w:t>
            </w:r>
            <w:r>
              <w:t xml:space="preserve"> </w:t>
            </w:r>
            <w:r w:rsidR="002A06F2">
              <w:t>who</w:t>
            </w:r>
            <w:r>
              <w:t>m the report is required to</w:t>
            </w:r>
            <w:r w:rsidR="002A06F2">
              <w:t xml:space="preserve"> be provided</w:t>
            </w:r>
            <w:r>
              <w:t xml:space="preserve"> at</w:t>
            </w:r>
            <w:r w:rsidR="002A06F2">
              <w:t xml:space="preserve"> </w:t>
            </w:r>
            <w:r>
              <w:t xml:space="preserve">the </w:t>
            </w:r>
            <w:r w:rsidRPr="00726F3F">
              <w:t>Parks and Wildlife Department</w:t>
            </w:r>
            <w:r>
              <w:t xml:space="preserve"> (TPWD) as</w:t>
            </w:r>
            <w:r w:rsidR="00726F3F" w:rsidRPr="00726F3F">
              <w:t xml:space="preserve"> a marine safety enforcement officer or game warden commissioned by </w:t>
            </w:r>
            <w:r>
              <w:t xml:space="preserve">TPWD; </w:t>
            </w:r>
          </w:p>
          <w:p w14:paraId="293E7699" w14:textId="340329DC" w:rsidR="00100E40" w:rsidRDefault="00416BD9" w:rsidP="000B3B2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removes the provision making such reports confidential and inadmissible in court as evidenc</w:t>
            </w:r>
            <w:r>
              <w:t>e; and</w:t>
            </w:r>
          </w:p>
          <w:p w14:paraId="56ABF341" w14:textId="6309CEEC" w:rsidR="00726F3F" w:rsidRDefault="00416BD9" w:rsidP="000B3B2B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requires a </w:t>
            </w:r>
            <w:r w:rsidRPr="00726F3F">
              <w:t xml:space="preserve">marine safety enforcement officer who in the regular course of duty investigates </w:t>
            </w:r>
            <w:r>
              <w:t>such an</w:t>
            </w:r>
            <w:r w:rsidRPr="00726F3F">
              <w:t xml:space="preserve"> incident </w:t>
            </w:r>
            <w:r>
              <w:t xml:space="preserve">to electronically file a written report of the incident with TPWD in a form prescribed by TPWD not later than the 15th day after the </w:t>
            </w:r>
            <w:r>
              <w:t>date the officer initially became aware of the incident</w:t>
            </w:r>
            <w:r w:rsidR="00F72B26">
              <w:t>.</w:t>
            </w:r>
          </w:p>
          <w:p w14:paraId="183FE429" w14:textId="77777777" w:rsidR="00726F3F" w:rsidRDefault="00726F3F" w:rsidP="000B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0F67FF" w14:textId="6CA6C3D6" w:rsidR="009C36CD" w:rsidRDefault="00416BD9" w:rsidP="000B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1670 </w:t>
            </w:r>
            <w:r w:rsidR="00203E09">
              <w:t>establishes</w:t>
            </w:r>
            <w:r w:rsidR="00F72B26">
              <w:t xml:space="preserve"> that, except as otherwise provided by the bill, </w:t>
            </w:r>
            <w:r w:rsidR="00203E09">
              <w:t>such</w:t>
            </w:r>
            <w:r>
              <w:t xml:space="preserve"> incident report</w:t>
            </w:r>
            <w:r w:rsidR="00F72B26">
              <w:t>s</w:t>
            </w:r>
            <w:r w:rsidR="00203E09">
              <w:t xml:space="preserve"> held by TPWD</w:t>
            </w:r>
            <w:r w:rsidR="004740A2">
              <w:t xml:space="preserve"> or another governmental entity</w:t>
            </w:r>
            <w:r w:rsidR="00F72B26">
              <w:t xml:space="preserve"> are</w:t>
            </w:r>
            <w:r>
              <w:t xml:space="preserve"> </w:t>
            </w:r>
            <w:r w:rsidR="00203E09">
              <w:t xml:space="preserve">confidential and </w:t>
            </w:r>
            <w:r w:rsidR="00F72B26">
              <w:t xml:space="preserve">only </w:t>
            </w:r>
            <w:r>
              <w:t xml:space="preserve">for the use of </w:t>
            </w:r>
            <w:r w:rsidR="00001F5F">
              <w:t>TPWD</w:t>
            </w:r>
            <w:r>
              <w:t xml:space="preserve"> and </w:t>
            </w:r>
            <w:r w:rsidRPr="00634852">
              <w:t>an authorize</w:t>
            </w:r>
            <w:r w:rsidRPr="00634852">
              <w:t>d official or agency of the United States or a state or local governmental entity.</w:t>
            </w:r>
            <w:r>
              <w:t xml:space="preserve"> The bill requires such entities to release </w:t>
            </w:r>
            <w:r w:rsidR="004740A2">
              <w:t xml:space="preserve">such </w:t>
            </w:r>
            <w:r>
              <w:t xml:space="preserve">an incident report, on written request, to: </w:t>
            </w:r>
          </w:p>
          <w:p w14:paraId="51A55AC5" w14:textId="4FE9EE61" w:rsidR="00634852" w:rsidRDefault="00416BD9" w:rsidP="000B3B2B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TPWD </w:t>
            </w:r>
            <w:r w:rsidR="004740A2">
              <w:t xml:space="preserve">or such an </w:t>
            </w:r>
            <w:r>
              <w:t>entity;</w:t>
            </w:r>
          </w:p>
          <w:p w14:paraId="1AA0EBC6" w14:textId="1903E326" w:rsidR="00634852" w:rsidRDefault="00416BD9" w:rsidP="000B3B2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law enforcement agency that employs the marine safet</w:t>
            </w:r>
            <w:r>
              <w:t xml:space="preserve">y enforcement officer who investigated the incident and filed the incident report with </w:t>
            </w:r>
            <w:r w:rsidR="00001F5F">
              <w:t>TPWD</w:t>
            </w:r>
            <w:r>
              <w:t>, including an agent of the law enforcement agency authorized by contract to obtain the information;</w:t>
            </w:r>
          </w:p>
          <w:p w14:paraId="50F090BE" w14:textId="7696D5B7" w:rsidR="00634852" w:rsidRDefault="00416BD9" w:rsidP="000B3B2B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court in which a case involving a person involved in the inc</w:t>
            </w:r>
            <w:r>
              <w:t>ident is pending if the incident report is subpoenaed; or</w:t>
            </w:r>
          </w:p>
          <w:p w14:paraId="3EAD9949" w14:textId="49D76615" w:rsidR="00634852" w:rsidRDefault="00416BD9" w:rsidP="000B3B2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person directly concerned in the incident or having an interest in the incident as:</w:t>
            </w:r>
          </w:p>
          <w:p w14:paraId="5AD9FA6B" w14:textId="77777777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person involved in the incident;</w:t>
            </w:r>
          </w:p>
          <w:p w14:paraId="08C6A653" w14:textId="3F334C4B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authorized representative of a person involved in the incident;</w:t>
            </w:r>
          </w:p>
          <w:p w14:paraId="15E4F4D1" w14:textId="6E78443E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a </w:t>
            </w:r>
            <w:r>
              <w:t>vessel operator involved in the incident;</w:t>
            </w:r>
          </w:p>
          <w:p w14:paraId="4A044BF7" w14:textId="3424A4D1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an employer, parent, or legal guardian of a vessel operator involved in the incident;</w:t>
            </w:r>
          </w:p>
          <w:p w14:paraId="22754B93" w14:textId="319C380B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owner of a vessel or property damaged in the incident;</w:t>
            </w:r>
          </w:p>
          <w:p w14:paraId="3A633876" w14:textId="3278C70A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person who has established financial responsibility for a vessel in</w:t>
            </w:r>
            <w:r>
              <w:t>volved in the incident, including a policyholder of a liability insurance policy covering the vessel;</w:t>
            </w:r>
          </w:p>
          <w:p w14:paraId="5DF34E52" w14:textId="506CAA6E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an insurance company that issued an insurance policy covering a vessel involved in the incident;</w:t>
            </w:r>
          </w:p>
          <w:p w14:paraId="47728C00" w14:textId="1EE56163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an insurance company that issued a policy covering any pe</w:t>
            </w:r>
            <w:r>
              <w:t>rson involved in the incident;</w:t>
            </w:r>
          </w:p>
          <w:p w14:paraId="77D22E53" w14:textId="0B63A826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person under contract to provide claims or underwriting information to a person</w:t>
            </w:r>
            <w:r w:rsidR="004740A2">
              <w:t xml:space="preserve"> who has established financial responsibility for a vessel involved in the inciden</w:t>
            </w:r>
            <w:r w:rsidR="00EF35A6">
              <w:t>t or an insurance company that issued a policy covering such a vessel or person involved in the incident</w:t>
            </w:r>
            <w:r>
              <w:t>;</w:t>
            </w:r>
          </w:p>
          <w:p w14:paraId="483FAD7C" w14:textId="1873DC78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radio or television station that holds a license issued by the Federal Communications Commission;</w:t>
            </w:r>
          </w:p>
          <w:p w14:paraId="429116C3" w14:textId="2E991BB6" w:rsidR="00001F5F" w:rsidRDefault="00416BD9" w:rsidP="000B3B2B">
            <w:pPr>
              <w:pStyle w:val="Header"/>
              <w:numPr>
                <w:ilvl w:val="1"/>
                <w:numId w:val="1"/>
              </w:numPr>
              <w:jc w:val="both"/>
            </w:pPr>
            <w:r>
              <w:t>a newspaper that is a free newspaper of general circulation or qualified under the Government Code to publish le</w:t>
            </w:r>
            <w:r>
              <w:t>gal notices, published at least weekly, and available and of interest to the general public in connection with the dissemination of news; or</w:t>
            </w:r>
          </w:p>
          <w:p w14:paraId="677417F5" w14:textId="5E09F497" w:rsidR="00001F5F" w:rsidRDefault="00416BD9" w:rsidP="000B3B2B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 person who may sue because of death resulting from the incident.</w:t>
            </w:r>
          </w:p>
          <w:p w14:paraId="3EF91F98" w14:textId="6C17118A" w:rsidR="00001F5F" w:rsidRDefault="00001F5F" w:rsidP="000B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B16C24" w14:textId="05EEACFD" w:rsidR="008423E4" w:rsidRDefault="00416BD9" w:rsidP="000B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1670 requires TPWD, in addition to such in</w:t>
            </w:r>
            <w:r>
              <w:t>formation</w:t>
            </w:r>
            <w:r w:rsidR="00EF35A6">
              <w:t xml:space="preserve"> required by the bill to be released</w:t>
            </w:r>
            <w:r>
              <w:t xml:space="preserve">, to publish </w:t>
            </w:r>
            <w:r w:rsidRPr="00001F5F">
              <w:t>at least annually statistics derived from incident reports that relate to the number, cause, and location of the reported incidents.</w:t>
            </w:r>
            <w:r>
              <w:t xml:space="preserve"> The bill </w:t>
            </w:r>
            <w:r w:rsidR="00731B82">
              <w:t>requires TPWD</w:t>
            </w:r>
            <w:r w:rsidR="00AF4B3A">
              <w:t>, when releasing information to a radio or television station or newspaper under the bill,</w:t>
            </w:r>
            <w:r w:rsidR="00731B82">
              <w:t xml:space="preserve"> to </w:t>
            </w:r>
            <w:r w:rsidR="00731B82" w:rsidRPr="00731B82">
              <w:t>withhold</w:t>
            </w:r>
            <w:r w:rsidR="00731B82">
              <w:t xml:space="preserve"> or</w:t>
            </w:r>
            <w:r w:rsidR="00731B82" w:rsidRPr="00731B82">
              <w:t xml:space="preserve"> redact</w:t>
            </w:r>
            <w:r w:rsidR="00731B82">
              <w:t xml:space="preserve"> </w:t>
            </w:r>
            <w:r w:rsidR="00AF4B3A">
              <w:t xml:space="preserve">specified </w:t>
            </w:r>
            <w:r w:rsidR="00731B82">
              <w:t xml:space="preserve">identifying information of persons </w:t>
            </w:r>
            <w:r w:rsidR="00AF4B3A">
              <w:t xml:space="preserve">included </w:t>
            </w:r>
            <w:r w:rsidR="00731B82">
              <w:t>in an incident</w:t>
            </w:r>
            <w:r w:rsidR="00AF4B3A">
              <w:t xml:space="preserve"> report, the registration or hull identification number of a vessel included in such a report, the badge number or identification number of the investigating officer, the date of death of a person who died as a result of the incident, and the location to which a person injured or killed in the incident was transported or the person that provided the transportation</w:t>
            </w:r>
            <w:r w:rsidR="00731B82">
              <w:t>. The</w:t>
            </w:r>
            <w:r w:rsidR="001178C1">
              <w:t xml:space="preserve"> bill requires the</w:t>
            </w:r>
            <w:r w:rsidR="00731B82">
              <w:t xml:space="preserve"> a</w:t>
            </w:r>
            <w:r w:rsidR="00731B82" w:rsidRPr="00731B82">
              <w:t>mount that may be charged for</w:t>
            </w:r>
            <w:r w:rsidR="00731B82">
              <w:t xml:space="preserve"> </w:t>
            </w:r>
            <w:r w:rsidR="00731B82" w:rsidRPr="00731B82">
              <w:t>information</w:t>
            </w:r>
            <w:r w:rsidR="00731B82">
              <w:t xml:space="preserve"> </w:t>
            </w:r>
            <w:r w:rsidR="00E34A1C">
              <w:t xml:space="preserve">provided under the bill </w:t>
            </w:r>
            <w:r w:rsidR="001178C1">
              <w:t>to</w:t>
            </w:r>
            <w:r w:rsidR="001178C1" w:rsidRPr="00731B82">
              <w:t xml:space="preserve"> </w:t>
            </w:r>
            <w:r w:rsidR="00731B82" w:rsidRPr="00731B82">
              <w:t xml:space="preserve">be calculated in </w:t>
            </w:r>
            <w:r w:rsidR="001178C1">
              <w:t xml:space="preserve">the manner specified under </w:t>
            </w:r>
            <w:r w:rsidR="001178C1" w:rsidRPr="001178C1">
              <w:t>state public information law</w:t>
            </w:r>
            <w:r w:rsidR="00E34A1C">
              <w:t xml:space="preserve"> for </w:t>
            </w:r>
            <w:r w:rsidR="00731B82" w:rsidRPr="00731B82">
              <w:t>public information provided by a governmental body</w:t>
            </w:r>
            <w:r w:rsidR="00E34A1C">
              <w:t xml:space="preserve"> under that law</w:t>
            </w:r>
            <w:r w:rsidR="00731B82" w:rsidRPr="00731B82">
              <w:t>.</w:t>
            </w:r>
            <w:r w:rsidR="00726F3F">
              <w:t xml:space="preserve"> </w:t>
            </w:r>
          </w:p>
          <w:p w14:paraId="57EF5CD3" w14:textId="77777777" w:rsidR="001178C1" w:rsidRDefault="001178C1" w:rsidP="000B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A879CBD" w14:textId="77777777" w:rsidR="001178C1" w:rsidRDefault="00416BD9" w:rsidP="000B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1670 </w:t>
            </w:r>
            <w:r w:rsidR="00E34A1C">
              <w:t>establishes that provisions relating to reporting procedures for marine safety enforcement officers for</w:t>
            </w:r>
            <w:r w:rsidR="00FD1303">
              <w:t xml:space="preserve"> </w:t>
            </w:r>
            <w:r w:rsidRPr="001178C1">
              <w:t>incident</w:t>
            </w:r>
            <w:r>
              <w:t>s involving</w:t>
            </w:r>
            <w:r w:rsidRPr="001178C1">
              <w:t xml:space="preserve"> a boating accident, water fa</w:t>
            </w:r>
            <w:r w:rsidRPr="001178C1">
              <w:t>tality, or person who allegedly operates a boat while intoxicated</w:t>
            </w:r>
            <w:r w:rsidR="00E34A1C">
              <w:t xml:space="preserve"> do not apply to an</w:t>
            </w:r>
            <w:r w:rsidR="00E34A1C" w:rsidRPr="00FD1303">
              <w:t xml:space="preserve"> incident </w:t>
            </w:r>
            <w:r w:rsidR="00E34A1C">
              <w:t>required to be reported under</w:t>
            </w:r>
            <w:r w:rsidR="00E34A1C" w:rsidRPr="00FD1303">
              <w:t xml:space="preserve"> the bill's provisions</w:t>
            </w:r>
            <w:r w:rsidR="00E34A1C">
              <w:t xml:space="preserve"> by a marine safety enforcement officer to TPWD. </w:t>
            </w:r>
            <w:r w:rsidR="00FD1303">
              <w:t>The bill applies only to an incident that occurs on or after the bill's effective date.</w:t>
            </w:r>
          </w:p>
          <w:p w14:paraId="34157A6E" w14:textId="3E4FE817" w:rsidR="00287B06" w:rsidRPr="00726F3F" w:rsidRDefault="00287B06" w:rsidP="000B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C497B" w14:paraId="598194DE" w14:textId="77777777" w:rsidTr="00345119">
        <w:tc>
          <w:tcPr>
            <w:tcW w:w="9576" w:type="dxa"/>
          </w:tcPr>
          <w:p w14:paraId="1107C732" w14:textId="77777777" w:rsidR="008423E4" w:rsidRPr="00A8133F" w:rsidRDefault="00416BD9" w:rsidP="000B3B2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2719224" w14:textId="77777777" w:rsidR="008423E4" w:rsidRDefault="008423E4" w:rsidP="000B3B2B"/>
          <w:p w14:paraId="0A006C23" w14:textId="5631CE60" w:rsidR="008423E4" w:rsidRPr="003624F2" w:rsidRDefault="00416BD9" w:rsidP="000B3B2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D413456" w14:textId="77777777" w:rsidR="008423E4" w:rsidRPr="00233FDB" w:rsidRDefault="008423E4" w:rsidP="000B3B2B">
            <w:pPr>
              <w:rPr>
                <w:b/>
              </w:rPr>
            </w:pPr>
          </w:p>
        </w:tc>
      </w:tr>
    </w:tbl>
    <w:p w14:paraId="5B38E961" w14:textId="77777777" w:rsidR="008423E4" w:rsidRPr="00BE0E75" w:rsidRDefault="008423E4" w:rsidP="000B3B2B">
      <w:pPr>
        <w:jc w:val="both"/>
        <w:rPr>
          <w:rFonts w:ascii="Arial" w:hAnsi="Arial"/>
          <w:sz w:val="16"/>
          <w:szCs w:val="16"/>
        </w:rPr>
      </w:pPr>
    </w:p>
    <w:p w14:paraId="315E1B2F" w14:textId="77777777" w:rsidR="004108C3" w:rsidRPr="008423E4" w:rsidRDefault="004108C3" w:rsidP="000B3B2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DCA8" w14:textId="77777777" w:rsidR="00000000" w:rsidRDefault="00416BD9">
      <w:r>
        <w:separator/>
      </w:r>
    </w:p>
  </w:endnote>
  <w:endnote w:type="continuationSeparator" w:id="0">
    <w:p w14:paraId="75208979" w14:textId="77777777" w:rsidR="00000000" w:rsidRDefault="0041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045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C497B" w14:paraId="6229A02E" w14:textId="77777777" w:rsidTr="009C1E9A">
      <w:trPr>
        <w:cantSplit/>
      </w:trPr>
      <w:tc>
        <w:tcPr>
          <w:tcW w:w="0" w:type="pct"/>
        </w:tcPr>
        <w:p w14:paraId="44F1397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3781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634C2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6C4B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68833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497B" w14:paraId="68CDD3B0" w14:textId="77777777" w:rsidTr="009C1E9A">
      <w:trPr>
        <w:cantSplit/>
      </w:trPr>
      <w:tc>
        <w:tcPr>
          <w:tcW w:w="0" w:type="pct"/>
        </w:tcPr>
        <w:p w14:paraId="71F2FEE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22A6107" w14:textId="77777777" w:rsidR="00EC379B" w:rsidRPr="009C1E9A" w:rsidRDefault="00416BD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30470-D</w:t>
          </w:r>
        </w:p>
      </w:tc>
      <w:tc>
        <w:tcPr>
          <w:tcW w:w="2453" w:type="pct"/>
        </w:tcPr>
        <w:p w14:paraId="7ED9137E" w14:textId="24B29FEE" w:rsidR="00EC379B" w:rsidRDefault="00416BD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53358">
            <w:t>23.136.201</w:t>
          </w:r>
          <w:r>
            <w:fldChar w:fldCharType="end"/>
          </w:r>
        </w:p>
      </w:tc>
    </w:tr>
    <w:tr w:rsidR="004C497B" w14:paraId="15C68AAF" w14:textId="77777777" w:rsidTr="009C1E9A">
      <w:trPr>
        <w:cantSplit/>
      </w:trPr>
      <w:tc>
        <w:tcPr>
          <w:tcW w:w="0" w:type="pct"/>
        </w:tcPr>
        <w:p w14:paraId="3B3EFE2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AA8D14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971194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2E2E7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497B" w14:paraId="5697A81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CC30E72" w14:textId="77777777" w:rsidR="00EC379B" w:rsidRDefault="00416BD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0E386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318ECF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8AE7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0B68" w14:textId="77777777" w:rsidR="00000000" w:rsidRDefault="00416BD9">
      <w:r>
        <w:separator/>
      </w:r>
    </w:p>
  </w:footnote>
  <w:footnote w:type="continuationSeparator" w:id="0">
    <w:p w14:paraId="3E9F05E3" w14:textId="77777777" w:rsidR="00000000" w:rsidRDefault="0041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AF0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D3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F93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6083"/>
    <w:multiLevelType w:val="hybridMultilevel"/>
    <w:tmpl w:val="B532EC5C"/>
    <w:lvl w:ilvl="0" w:tplc="F02A4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8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83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0D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81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4C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2C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A5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CB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108B"/>
    <w:multiLevelType w:val="hybridMultilevel"/>
    <w:tmpl w:val="A02E8ECC"/>
    <w:lvl w:ilvl="0" w:tplc="E3B2B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74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0B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A8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0D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82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4C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C2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A4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4715">
    <w:abstractNumId w:val="1"/>
  </w:num>
  <w:num w:numId="2" w16cid:durableId="52752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2"/>
    <w:rsid w:val="00000A70"/>
    <w:rsid w:val="00001F5F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B2B"/>
    <w:rsid w:val="000B3E61"/>
    <w:rsid w:val="000B54AF"/>
    <w:rsid w:val="000B584E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0E40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8C1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B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0730"/>
    <w:rsid w:val="001F3CB8"/>
    <w:rsid w:val="001F6B91"/>
    <w:rsid w:val="001F703C"/>
    <w:rsid w:val="00200B9E"/>
    <w:rsid w:val="00200BF5"/>
    <w:rsid w:val="002010D1"/>
    <w:rsid w:val="00201338"/>
    <w:rsid w:val="00203E09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87B06"/>
    <w:rsid w:val="00291518"/>
    <w:rsid w:val="00296FF0"/>
    <w:rsid w:val="002A06F2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51A0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49D7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CC2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358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BD9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0A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97B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1F5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04BA"/>
    <w:rsid w:val="00592C9A"/>
    <w:rsid w:val="00593DF8"/>
    <w:rsid w:val="00595745"/>
    <w:rsid w:val="005A0E18"/>
    <w:rsid w:val="005A10BD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38ED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4852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F3F"/>
    <w:rsid w:val="00727E7A"/>
    <w:rsid w:val="0073163C"/>
    <w:rsid w:val="00731B82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4A4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1F5"/>
    <w:rsid w:val="00823E4C"/>
    <w:rsid w:val="00827749"/>
    <w:rsid w:val="00827B36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3606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197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B3A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ECE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BC7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C74"/>
    <w:rsid w:val="00DB311F"/>
    <w:rsid w:val="00DB53C6"/>
    <w:rsid w:val="00DB59E3"/>
    <w:rsid w:val="00DB6CB6"/>
    <w:rsid w:val="00DB758F"/>
    <w:rsid w:val="00DC09EC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22F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C16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4A1C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55A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2C9C"/>
    <w:rsid w:val="00EF35A6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3C17"/>
    <w:rsid w:val="00F15223"/>
    <w:rsid w:val="00F164B4"/>
    <w:rsid w:val="00F176E4"/>
    <w:rsid w:val="00F17BB8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B26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303"/>
    <w:rsid w:val="00FD1B4B"/>
    <w:rsid w:val="00FD1B94"/>
    <w:rsid w:val="00FE19C5"/>
    <w:rsid w:val="00FE21FA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D0D65F-4AFA-4D4C-AA3C-DFCD60D4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48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4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48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4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4852"/>
    <w:rPr>
      <w:b/>
      <w:bCs/>
    </w:rPr>
  </w:style>
  <w:style w:type="paragraph" w:styleId="Revision">
    <w:name w:val="Revision"/>
    <w:hidden/>
    <w:uiPriority w:val="99"/>
    <w:semiHidden/>
    <w:rsid w:val="003049D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5241</Characters>
  <Application>Microsoft Office Word</Application>
  <DocSecurity>4</DocSecurity>
  <Lines>111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SB01670 (Committee Report (Unamended))</vt:lpstr>
    </vt:vector>
  </TitlesOfParts>
  <Company>State of Texas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30470</dc:subject>
  <dc:creator>State of Texas</dc:creator>
  <dc:description>SB 1670 by LaMantia-(H)Culture, Recreation &amp; Tourism</dc:description>
  <cp:lastModifiedBy>Damian Duarte</cp:lastModifiedBy>
  <cp:revision>2</cp:revision>
  <cp:lastPrinted>2003-11-26T17:21:00Z</cp:lastPrinted>
  <dcterms:created xsi:type="dcterms:W3CDTF">2023-05-17T15:20:00Z</dcterms:created>
  <dcterms:modified xsi:type="dcterms:W3CDTF">2023-05-17T15:20:00Z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23.136.201</vt:lpwstr>
  </property>
</Properties>
</file>