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3F7" w:rsidRDefault="00D243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6C7DD06D2D4A68B810060B5FA20933"/>
          </w:placeholder>
        </w:sdtPr>
        <w:sdtContent>
          <w:r w:rsidRPr="005C2A78">
            <w:rPr>
              <w:rFonts w:cs="Times New Roman"/>
              <w:b/>
              <w:szCs w:val="24"/>
              <w:u w:val="single"/>
            </w:rPr>
            <w:t>BILL ANALYSIS</w:t>
          </w:r>
        </w:sdtContent>
      </w:sdt>
    </w:p>
    <w:p w:rsidR="00D243F7" w:rsidRPr="00585C31" w:rsidRDefault="00D243F7" w:rsidP="000F1DF9">
      <w:pPr>
        <w:spacing w:after="0" w:line="240" w:lineRule="auto"/>
        <w:rPr>
          <w:rFonts w:cs="Times New Roman"/>
          <w:szCs w:val="24"/>
        </w:rPr>
      </w:pPr>
    </w:p>
    <w:p w:rsidR="00D243F7" w:rsidRPr="00585C31" w:rsidRDefault="00D243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43F7" w:rsidTr="00056E1C">
        <w:tc>
          <w:tcPr>
            <w:tcW w:w="2718" w:type="dxa"/>
          </w:tcPr>
          <w:p w:rsidR="00D243F7" w:rsidRPr="005C2A78" w:rsidRDefault="00D243F7" w:rsidP="006D756B">
            <w:pPr>
              <w:rPr>
                <w:rFonts w:cs="Times New Roman"/>
                <w:szCs w:val="24"/>
              </w:rPr>
            </w:pPr>
            <w:sdt>
              <w:sdtPr>
                <w:rPr>
                  <w:rFonts w:cs="Times New Roman"/>
                  <w:szCs w:val="24"/>
                </w:rPr>
                <w:alias w:val="Agency Title"/>
                <w:tag w:val="AgencyTitleContentControl"/>
                <w:id w:val="1920747753"/>
                <w:lock w:val="sdtContentLocked"/>
                <w:placeholder>
                  <w:docPart w:val="8311CA15F791450D912D0D96C5C66E9B"/>
                </w:placeholder>
              </w:sdtPr>
              <w:sdtEndPr>
                <w:rPr>
                  <w:rFonts w:cstheme="minorBidi"/>
                  <w:szCs w:val="22"/>
                </w:rPr>
              </w:sdtEndPr>
              <w:sdtContent>
                <w:r>
                  <w:rPr>
                    <w:rFonts w:cs="Times New Roman"/>
                    <w:szCs w:val="24"/>
                  </w:rPr>
                  <w:t>Senate Research Center</w:t>
                </w:r>
              </w:sdtContent>
            </w:sdt>
          </w:p>
        </w:tc>
        <w:tc>
          <w:tcPr>
            <w:tcW w:w="6858" w:type="dxa"/>
          </w:tcPr>
          <w:p w:rsidR="00D243F7" w:rsidRPr="00FF6471" w:rsidRDefault="00D243F7" w:rsidP="000F1DF9">
            <w:pPr>
              <w:jc w:val="right"/>
              <w:rPr>
                <w:rFonts w:cs="Times New Roman"/>
                <w:szCs w:val="24"/>
              </w:rPr>
            </w:pPr>
            <w:sdt>
              <w:sdtPr>
                <w:rPr>
                  <w:rFonts w:cs="Times New Roman"/>
                  <w:szCs w:val="24"/>
                </w:rPr>
                <w:alias w:val="Bill Number"/>
                <w:tag w:val="BillNumberOne"/>
                <w:id w:val="-410784069"/>
                <w:lock w:val="sdtContentLocked"/>
                <w:placeholder>
                  <w:docPart w:val="617A4363064F43F480E9493A31890463"/>
                </w:placeholder>
              </w:sdtPr>
              <w:sdtContent>
                <w:r>
                  <w:rPr>
                    <w:rFonts w:cs="Times New Roman"/>
                    <w:szCs w:val="24"/>
                  </w:rPr>
                  <w:t>C.S.S.B. 1751</w:t>
                </w:r>
              </w:sdtContent>
            </w:sdt>
          </w:p>
        </w:tc>
      </w:tr>
      <w:tr w:rsidR="00D243F7" w:rsidTr="00056E1C">
        <w:sdt>
          <w:sdtPr>
            <w:rPr>
              <w:rFonts w:cs="Times New Roman"/>
              <w:szCs w:val="24"/>
            </w:rPr>
            <w:alias w:val="TLCNumber"/>
            <w:tag w:val="TLCNumber"/>
            <w:id w:val="-542600604"/>
            <w:lock w:val="sdtLocked"/>
            <w:placeholder>
              <w:docPart w:val="444BDC328E984ACEBF55F26132884A5C"/>
            </w:placeholder>
          </w:sdtPr>
          <w:sdtContent>
            <w:tc>
              <w:tcPr>
                <w:tcW w:w="2718" w:type="dxa"/>
              </w:tcPr>
              <w:p w:rsidR="00D243F7" w:rsidRPr="000F1DF9" w:rsidRDefault="00D243F7" w:rsidP="00C65088">
                <w:pPr>
                  <w:rPr>
                    <w:rFonts w:cs="Times New Roman"/>
                    <w:szCs w:val="24"/>
                  </w:rPr>
                </w:pPr>
                <w:r>
                  <w:t>88R20270 CXP-D</w:t>
                </w:r>
              </w:p>
            </w:tc>
          </w:sdtContent>
        </w:sdt>
        <w:tc>
          <w:tcPr>
            <w:tcW w:w="6858" w:type="dxa"/>
          </w:tcPr>
          <w:p w:rsidR="00D243F7" w:rsidRPr="005C2A78" w:rsidRDefault="00D243F7" w:rsidP="00073EDD">
            <w:pPr>
              <w:jc w:val="right"/>
              <w:rPr>
                <w:rFonts w:cs="Times New Roman"/>
                <w:szCs w:val="24"/>
              </w:rPr>
            </w:pPr>
            <w:sdt>
              <w:sdtPr>
                <w:rPr>
                  <w:rFonts w:cs="Times New Roman"/>
                  <w:szCs w:val="24"/>
                </w:rPr>
                <w:alias w:val="Author Label"/>
                <w:tag w:val="By"/>
                <w:id w:val="72399597"/>
                <w:lock w:val="sdtLocked"/>
                <w:placeholder>
                  <w:docPart w:val="65F618372A4C4430864951C98EED17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1568F379BE4A6DBE4FE904C39977A3"/>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9C6C06B315E24D09A82913B3FF3DDFF0"/>
                </w:placeholder>
                <w:showingPlcHdr/>
              </w:sdtPr>
              <w:sdtContent/>
            </w:sdt>
            <w:sdt>
              <w:sdtPr>
                <w:rPr>
                  <w:rFonts w:cs="Times New Roman"/>
                  <w:szCs w:val="24"/>
                </w:rPr>
                <w:alias w:val="DualSponsor"/>
                <w:tag w:val="DualSponsor"/>
                <w:id w:val="1029379812"/>
                <w:lock w:val="sdtContentLocked"/>
                <w:placeholder>
                  <w:docPart w:val="1D9CF4B3AF2B4BC5BF89E354AFEA2945"/>
                </w:placeholder>
                <w:showingPlcHdr/>
              </w:sdtPr>
              <w:sdtContent/>
            </w:sdt>
          </w:p>
        </w:tc>
      </w:tr>
      <w:tr w:rsidR="00D243F7" w:rsidTr="00056E1C">
        <w:tc>
          <w:tcPr>
            <w:tcW w:w="2718" w:type="dxa"/>
          </w:tcPr>
          <w:p w:rsidR="00D243F7" w:rsidRPr="00BC7495" w:rsidRDefault="00D243F7" w:rsidP="000F1DF9">
            <w:pPr>
              <w:rPr>
                <w:rFonts w:cs="Times New Roman"/>
                <w:szCs w:val="24"/>
              </w:rPr>
            </w:pPr>
          </w:p>
        </w:tc>
        <w:sdt>
          <w:sdtPr>
            <w:rPr>
              <w:rFonts w:cs="Times New Roman"/>
              <w:szCs w:val="24"/>
            </w:rPr>
            <w:alias w:val="Committee"/>
            <w:tag w:val="Committee"/>
            <w:id w:val="1914272295"/>
            <w:lock w:val="sdtContentLocked"/>
            <w:placeholder>
              <w:docPart w:val="B39714BE9C064EFBA0F5B4BD54E247FB"/>
            </w:placeholder>
          </w:sdtPr>
          <w:sdtContent>
            <w:tc>
              <w:tcPr>
                <w:tcW w:w="6858" w:type="dxa"/>
              </w:tcPr>
              <w:p w:rsidR="00D243F7" w:rsidRPr="00FF6471" w:rsidRDefault="00D243F7" w:rsidP="000F1DF9">
                <w:pPr>
                  <w:jc w:val="right"/>
                  <w:rPr>
                    <w:rFonts w:cs="Times New Roman"/>
                    <w:szCs w:val="24"/>
                  </w:rPr>
                </w:pPr>
                <w:r>
                  <w:rPr>
                    <w:rFonts w:cs="Times New Roman"/>
                    <w:szCs w:val="24"/>
                  </w:rPr>
                  <w:t>Business &amp; Commerce</w:t>
                </w:r>
              </w:p>
            </w:tc>
          </w:sdtContent>
        </w:sdt>
      </w:tr>
      <w:tr w:rsidR="00D243F7" w:rsidTr="00056E1C">
        <w:tc>
          <w:tcPr>
            <w:tcW w:w="2718" w:type="dxa"/>
          </w:tcPr>
          <w:p w:rsidR="00D243F7" w:rsidRPr="00BC7495" w:rsidRDefault="00D243F7" w:rsidP="000F1DF9">
            <w:pPr>
              <w:rPr>
                <w:rFonts w:cs="Times New Roman"/>
                <w:szCs w:val="24"/>
              </w:rPr>
            </w:pPr>
          </w:p>
        </w:tc>
        <w:sdt>
          <w:sdtPr>
            <w:rPr>
              <w:rFonts w:cs="Times New Roman"/>
              <w:szCs w:val="24"/>
            </w:rPr>
            <w:alias w:val="Date"/>
            <w:tag w:val="DateContentControl"/>
            <w:id w:val="1178081906"/>
            <w:lock w:val="sdtLocked"/>
            <w:placeholder>
              <w:docPart w:val="D100FF192D2F414DA0A9AEB4B295678B"/>
            </w:placeholder>
            <w:date w:fullDate="2023-04-04T00:00:00Z">
              <w:dateFormat w:val="M/d/yyyy"/>
              <w:lid w:val="en-US"/>
              <w:storeMappedDataAs w:val="dateTime"/>
              <w:calendar w:val="gregorian"/>
            </w:date>
          </w:sdtPr>
          <w:sdtContent>
            <w:tc>
              <w:tcPr>
                <w:tcW w:w="6858" w:type="dxa"/>
              </w:tcPr>
              <w:p w:rsidR="00D243F7" w:rsidRPr="00FF6471" w:rsidRDefault="00D243F7" w:rsidP="000F1DF9">
                <w:pPr>
                  <w:jc w:val="right"/>
                  <w:rPr>
                    <w:rFonts w:cs="Times New Roman"/>
                    <w:szCs w:val="24"/>
                  </w:rPr>
                </w:pPr>
                <w:r>
                  <w:rPr>
                    <w:rFonts w:cs="Times New Roman"/>
                    <w:szCs w:val="24"/>
                  </w:rPr>
                  <w:t>4/4/2023</w:t>
                </w:r>
              </w:p>
            </w:tc>
          </w:sdtContent>
        </w:sdt>
      </w:tr>
      <w:tr w:rsidR="00D243F7" w:rsidTr="00056E1C">
        <w:tc>
          <w:tcPr>
            <w:tcW w:w="2718" w:type="dxa"/>
          </w:tcPr>
          <w:p w:rsidR="00D243F7" w:rsidRPr="00BC7495" w:rsidRDefault="00D243F7" w:rsidP="000F1DF9">
            <w:pPr>
              <w:rPr>
                <w:rFonts w:cs="Times New Roman"/>
                <w:szCs w:val="24"/>
              </w:rPr>
            </w:pPr>
          </w:p>
        </w:tc>
        <w:sdt>
          <w:sdtPr>
            <w:rPr>
              <w:rFonts w:cs="Times New Roman"/>
              <w:szCs w:val="24"/>
            </w:rPr>
            <w:alias w:val="BA Version"/>
            <w:tag w:val="BAVersion"/>
            <w:id w:val="-1685590809"/>
            <w:lock w:val="sdtContentLocked"/>
            <w:placeholder>
              <w:docPart w:val="E1F583D7BDBB475F8D65B74439BAD519"/>
            </w:placeholder>
          </w:sdtPr>
          <w:sdtContent>
            <w:tc>
              <w:tcPr>
                <w:tcW w:w="6858" w:type="dxa"/>
              </w:tcPr>
              <w:p w:rsidR="00D243F7" w:rsidRPr="00FF6471" w:rsidRDefault="00D243F7" w:rsidP="000F1DF9">
                <w:pPr>
                  <w:jc w:val="right"/>
                  <w:rPr>
                    <w:rFonts w:cs="Times New Roman"/>
                    <w:szCs w:val="24"/>
                  </w:rPr>
                </w:pPr>
                <w:r>
                  <w:rPr>
                    <w:rFonts w:cs="Times New Roman"/>
                    <w:szCs w:val="24"/>
                  </w:rPr>
                  <w:t>Committee Report (Substituted)</w:t>
                </w:r>
              </w:p>
            </w:tc>
          </w:sdtContent>
        </w:sdt>
      </w:tr>
    </w:tbl>
    <w:p w:rsidR="00D243F7" w:rsidRPr="00FF6471" w:rsidRDefault="00D243F7" w:rsidP="000F1DF9">
      <w:pPr>
        <w:spacing w:after="0" w:line="240" w:lineRule="auto"/>
        <w:rPr>
          <w:rFonts w:cs="Times New Roman"/>
          <w:szCs w:val="24"/>
        </w:rPr>
      </w:pPr>
    </w:p>
    <w:p w:rsidR="00D243F7" w:rsidRPr="00FF6471" w:rsidRDefault="00D243F7" w:rsidP="000F1DF9">
      <w:pPr>
        <w:spacing w:after="0" w:line="240" w:lineRule="auto"/>
        <w:rPr>
          <w:rFonts w:cs="Times New Roman"/>
          <w:szCs w:val="24"/>
        </w:rPr>
      </w:pPr>
    </w:p>
    <w:p w:rsidR="00D243F7" w:rsidRPr="00FF6471" w:rsidRDefault="00D243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02DD10BDD74D9A859D39B491E47F88"/>
        </w:placeholder>
      </w:sdtPr>
      <w:sdtContent>
        <w:p w:rsidR="00D243F7" w:rsidRDefault="00D243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5D076D9453478A9DFC37445E42F4C2"/>
        </w:placeholder>
      </w:sdtPr>
      <w:sdtContent>
        <w:p w:rsidR="00D243F7" w:rsidRDefault="00D243F7" w:rsidP="00D243F7">
          <w:pPr>
            <w:pStyle w:val="NormalWeb"/>
            <w:spacing w:before="0" w:beforeAutospacing="0" w:after="0" w:afterAutospacing="0"/>
            <w:jc w:val="both"/>
            <w:divId w:val="1642005552"/>
            <w:rPr>
              <w:rFonts w:eastAsia="Times New Roman"/>
              <w:bCs/>
            </w:rPr>
          </w:pPr>
        </w:p>
        <w:p w:rsidR="00D243F7" w:rsidRPr="00056E1C" w:rsidRDefault="00D243F7" w:rsidP="00D243F7">
          <w:pPr>
            <w:pStyle w:val="NormalWeb"/>
            <w:spacing w:before="0" w:beforeAutospacing="0" w:after="0" w:afterAutospacing="0"/>
            <w:jc w:val="both"/>
            <w:divId w:val="1642005552"/>
          </w:pPr>
          <w:r w:rsidRPr="00056E1C">
            <w:t>As the state continues to improve the electric grid reliability and put measures in place to ensure reliability for the future, concerns still exist about the unregistered load usage by virtual currency mining facilities.</w:t>
          </w:r>
        </w:p>
        <w:p w:rsidR="00D243F7" w:rsidRPr="00056E1C" w:rsidRDefault="00D243F7" w:rsidP="00D243F7">
          <w:pPr>
            <w:pStyle w:val="NormalWeb"/>
            <w:spacing w:before="0" w:beforeAutospacing="0" w:after="0" w:afterAutospacing="0"/>
            <w:jc w:val="both"/>
            <w:divId w:val="1642005552"/>
          </w:pPr>
          <w:r w:rsidRPr="00056E1C">
            <w:t> </w:t>
          </w:r>
        </w:p>
        <w:p w:rsidR="00D243F7" w:rsidRDefault="00D243F7" w:rsidP="00D243F7">
          <w:pPr>
            <w:pStyle w:val="NormalWeb"/>
            <w:spacing w:before="0" w:beforeAutospacing="0" w:after="0" w:afterAutospacing="0"/>
            <w:jc w:val="both"/>
            <w:divId w:val="1642005552"/>
          </w:pPr>
          <w:r w:rsidRPr="00056E1C">
            <w:t xml:space="preserve">During the 87th Interim the Senate Business </w:t>
          </w:r>
          <w:r>
            <w:t>and</w:t>
          </w:r>
          <w:r w:rsidRPr="00056E1C">
            <w:t xml:space="preserve"> Commerce</w:t>
          </w:r>
          <w:r>
            <w:t xml:space="preserve"> Committee s</w:t>
          </w:r>
          <w:r w:rsidRPr="00056E1C">
            <w:t>tudied two charges related to this issue:</w:t>
          </w:r>
        </w:p>
        <w:p w:rsidR="00D243F7" w:rsidRPr="00056E1C" w:rsidRDefault="00D243F7" w:rsidP="00D243F7">
          <w:pPr>
            <w:pStyle w:val="NormalWeb"/>
            <w:spacing w:before="0" w:beforeAutospacing="0" w:after="0" w:afterAutospacing="0"/>
            <w:jc w:val="both"/>
            <w:divId w:val="1642005552"/>
          </w:pPr>
        </w:p>
        <w:p w:rsidR="00D243F7" w:rsidRPr="00056E1C" w:rsidRDefault="00D243F7" w:rsidP="00D243F7">
          <w:pPr>
            <w:numPr>
              <w:ilvl w:val="0"/>
              <w:numId w:val="1"/>
            </w:numPr>
            <w:spacing w:after="0" w:line="240" w:lineRule="auto"/>
            <w:jc w:val="both"/>
            <w:divId w:val="1642005552"/>
            <w:rPr>
              <w:rFonts w:eastAsia="Times New Roman"/>
            </w:rPr>
          </w:pPr>
          <w:r w:rsidRPr="00056E1C">
            <w:rPr>
              <w:rFonts w:eastAsia="Times New Roman"/>
            </w:rPr>
            <w:t>Study current state and federal regulations surrounding blockchain and virtual currencies. Examine how these technologies impact industries such as banking, business, and electricity.</w:t>
          </w:r>
        </w:p>
        <w:p w:rsidR="00D243F7" w:rsidRPr="00056E1C" w:rsidRDefault="00D243F7" w:rsidP="00D243F7">
          <w:pPr>
            <w:numPr>
              <w:ilvl w:val="0"/>
              <w:numId w:val="1"/>
            </w:numPr>
            <w:spacing w:after="0" w:line="240" w:lineRule="auto"/>
            <w:jc w:val="both"/>
            <w:divId w:val="1642005552"/>
            <w:rPr>
              <w:rFonts w:eastAsia="Times New Roman"/>
            </w:rPr>
          </w:pPr>
          <w:r w:rsidRPr="00056E1C">
            <w:rPr>
              <w:rFonts w:eastAsia="Times New Roman"/>
            </w:rPr>
            <w:t>Assess the electricity market in Texas. Study issues impacting the Texas electric grid, including weather preparedness, transmission planning, maintenance scheduling, and the natural gas supply chain.</w:t>
          </w:r>
        </w:p>
        <w:p w:rsidR="00D243F7" w:rsidRPr="00056E1C" w:rsidRDefault="00D243F7" w:rsidP="00D243F7">
          <w:pPr>
            <w:pStyle w:val="NormalWeb"/>
            <w:spacing w:before="0" w:beforeAutospacing="0" w:after="0" w:afterAutospacing="0"/>
            <w:jc w:val="both"/>
            <w:divId w:val="1642005552"/>
          </w:pPr>
          <w:r w:rsidRPr="00056E1C">
            <w:t> </w:t>
          </w:r>
        </w:p>
        <w:p w:rsidR="00D243F7" w:rsidRPr="00056E1C" w:rsidRDefault="00D243F7" w:rsidP="00D243F7">
          <w:pPr>
            <w:pStyle w:val="NormalWeb"/>
            <w:spacing w:before="0" w:beforeAutospacing="0" w:after="0" w:afterAutospacing="0"/>
            <w:jc w:val="both"/>
            <w:divId w:val="1642005552"/>
          </w:pPr>
          <w:r w:rsidRPr="00056E1C">
            <w:t xml:space="preserve">During a particular hearing, the committee heard testimony </w:t>
          </w:r>
          <w:r>
            <w:t>regarding</w:t>
          </w:r>
          <w:r w:rsidRPr="00056E1C">
            <w:t xml:space="preserve"> the fast growth of load. In particular, the testimony indicated growth of the load from virtual currency mining could reach an additional 37 gigawatts. Currently, there is no requirement for large flexible loads to register with ERCOT. Without registration, grid management is more difficult to accurately project, which threatens overall grid reliability.</w:t>
          </w:r>
        </w:p>
        <w:p w:rsidR="00D243F7" w:rsidRPr="00056E1C" w:rsidRDefault="00D243F7" w:rsidP="00D243F7">
          <w:pPr>
            <w:pStyle w:val="NormalWeb"/>
            <w:spacing w:before="0" w:beforeAutospacing="0" w:after="0" w:afterAutospacing="0"/>
            <w:jc w:val="both"/>
            <w:divId w:val="1642005552"/>
          </w:pPr>
          <w:r w:rsidRPr="00056E1C">
            <w:t> </w:t>
          </w:r>
        </w:p>
        <w:p w:rsidR="00D243F7" w:rsidRPr="00056E1C" w:rsidRDefault="00D243F7" w:rsidP="00D243F7">
          <w:pPr>
            <w:pStyle w:val="NormalWeb"/>
            <w:spacing w:before="0" w:beforeAutospacing="0" w:after="0" w:afterAutospacing="0"/>
            <w:jc w:val="both"/>
            <w:divId w:val="1642005552"/>
          </w:pPr>
          <w:r w:rsidRPr="00056E1C">
            <w:t>Key Provisions</w:t>
          </w:r>
          <w:r>
            <w:t>:</w:t>
          </w:r>
        </w:p>
        <w:p w:rsidR="00D243F7" w:rsidRPr="00056E1C" w:rsidRDefault="00D243F7" w:rsidP="00D243F7">
          <w:pPr>
            <w:pStyle w:val="NormalWeb"/>
            <w:spacing w:before="0" w:beforeAutospacing="0" w:after="0" w:afterAutospacing="0"/>
            <w:jc w:val="both"/>
            <w:divId w:val="1642005552"/>
          </w:pPr>
          <w:r w:rsidRPr="00056E1C">
            <w:t> </w:t>
          </w:r>
        </w:p>
        <w:p w:rsidR="00D243F7" w:rsidRPr="00056E1C" w:rsidRDefault="00D243F7" w:rsidP="00D243F7">
          <w:pPr>
            <w:numPr>
              <w:ilvl w:val="0"/>
              <w:numId w:val="2"/>
            </w:numPr>
            <w:spacing w:after="0" w:line="240" w:lineRule="auto"/>
            <w:jc w:val="both"/>
            <w:divId w:val="1642005552"/>
            <w:rPr>
              <w:rFonts w:eastAsia="Times New Roman"/>
            </w:rPr>
          </w:pPr>
          <w:r w:rsidRPr="00056E1C">
            <w:rPr>
              <w:rFonts w:eastAsia="Times New Roman"/>
            </w:rPr>
            <w:t>It requires large flexible loads with a load larger than 10 megawatts to register with ERCOT. Because 10 megawatts is considered utility scale usage for generation facilities, this same standard was set as the floor for registration of large flexible loads.</w:t>
          </w:r>
        </w:p>
        <w:p w:rsidR="00D243F7" w:rsidRPr="00056E1C" w:rsidRDefault="00D243F7" w:rsidP="00D243F7">
          <w:pPr>
            <w:numPr>
              <w:ilvl w:val="0"/>
              <w:numId w:val="2"/>
            </w:numPr>
            <w:spacing w:after="0" w:line="240" w:lineRule="auto"/>
            <w:jc w:val="both"/>
            <w:divId w:val="1642005552"/>
            <w:rPr>
              <w:rFonts w:eastAsia="Times New Roman"/>
            </w:rPr>
          </w:pPr>
          <w:r w:rsidRPr="00056E1C">
            <w:rPr>
              <w:rFonts w:eastAsia="Times New Roman"/>
            </w:rPr>
            <w:t>It bars virtual currency mining from tax abatements. Given that large scale growth in virtual currency mining is already projected to occur in the state, taxpayer-funded incentives are not necessary to subsidize growth of this industry. </w:t>
          </w:r>
        </w:p>
        <w:p w:rsidR="00D243F7" w:rsidRPr="00056E1C" w:rsidRDefault="00D243F7" w:rsidP="00D243F7">
          <w:pPr>
            <w:numPr>
              <w:ilvl w:val="0"/>
              <w:numId w:val="2"/>
            </w:numPr>
            <w:spacing w:after="0" w:line="240" w:lineRule="auto"/>
            <w:jc w:val="both"/>
            <w:divId w:val="1642005552"/>
            <w:rPr>
              <w:rFonts w:eastAsia="Times New Roman"/>
            </w:rPr>
          </w:pPr>
          <w:r w:rsidRPr="00056E1C">
            <w:rPr>
              <w:rFonts w:eastAsia="Times New Roman"/>
            </w:rPr>
            <w:t>It restricts the participation of virtual currency mining as demand response programs. This provision ensures that these demand response programs can be used by a broader scope of loads. </w:t>
          </w:r>
        </w:p>
        <w:p w:rsidR="00D243F7" w:rsidRPr="00056E1C" w:rsidRDefault="00D243F7" w:rsidP="00D243F7">
          <w:pPr>
            <w:pStyle w:val="NormalWeb"/>
            <w:spacing w:before="0" w:beforeAutospacing="0" w:after="0" w:afterAutospacing="0"/>
            <w:jc w:val="both"/>
            <w:divId w:val="1642005552"/>
          </w:pPr>
          <w:r w:rsidRPr="00056E1C">
            <w:t> </w:t>
          </w:r>
        </w:p>
        <w:p w:rsidR="00D243F7" w:rsidRDefault="00D243F7" w:rsidP="00D243F7">
          <w:pPr>
            <w:pStyle w:val="NormalWeb"/>
            <w:spacing w:before="0" w:beforeAutospacing="0" w:after="0" w:afterAutospacing="0"/>
            <w:jc w:val="both"/>
            <w:divId w:val="1642005552"/>
          </w:pPr>
          <w:r w:rsidRPr="00056E1C">
            <w:t>Committee Substitute Changes</w:t>
          </w:r>
        </w:p>
        <w:p w:rsidR="00D243F7" w:rsidRPr="00056E1C" w:rsidRDefault="00D243F7" w:rsidP="00D243F7">
          <w:pPr>
            <w:pStyle w:val="NormalWeb"/>
            <w:spacing w:before="0" w:beforeAutospacing="0" w:after="0" w:afterAutospacing="0"/>
            <w:jc w:val="both"/>
            <w:divId w:val="1642005552"/>
          </w:pPr>
        </w:p>
        <w:p w:rsidR="00D243F7" w:rsidRPr="00D243F7" w:rsidRDefault="00D243F7" w:rsidP="00D243F7">
          <w:pPr>
            <w:pStyle w:val="ListParagraph"/>
            <w:numPr>
              <w:ilvl w:val="0"/>
              <w:numId w:val="3"/>
            </w:numPr>
            <w:spacing w:after="0" w:line="240" w:lineRule="auto"/>
            <w:jc w:val="both"/>
            <w:divId w:val="1642005552"/>
            <w:rPr>
              <w:rFonts w:eastAsia="Times New Roman"/>
            </w:rPr>
          </w:pPr>
          <w:r w:rsidRPr="00D243F7">
            <w:rPr>
              <w:rFonts w:eastAsia="Times New Roman"/>
            </w:rPr>
            <w:t>The substitute more narrowly tailors required registration to facilities that are computing loads.</w:t>
          </w:r>
        </w:p>
        <w:p w:rsidR="00D243F7" w:rsidRPr="00056E1C" w:rsidRDefault="00D243F7" w:rsidP="00D243F7">
          <w:pPr>
            <w:pStyle w:val="NormalWeb"/>
            <w:numPr>
              <w:ilvl w:val="0"/>
              <w:numId w:val="3"/>
            </w:numPr>
            <w:spacing w:before="0" w:beforeAutospacing="0" w:after="0" w:afterAutospacing="0"/>
            <w:jc w:val="both"/>
            <w:divId w:val="1642005552"/>
          </w:pPr>
          <w:r w:rsidRPr="00056E1C">
            <w:t>Specifies that the operator of the large flexi</w:t>
          </w:r>
          <w:r>
            <w:t>b</w:t>
          </w:r>
          <w:r w:rsidRPr="00056E1C">
            <w:t>le load must register in order to ensure avoid potential confusion that a utility must also register.</w:t>
          </w:r>
        </w:p>
        <w:p w:rsidR="00D243F7" w:rsidRPr="00D70925" w:rsidRDefault="00D243F7" w:rsidP="00D243F7">
          <w:pPr>
            <w:spacing w:after="0" w:line="240" w:lineRule="auto"/>
            <w:jc w:val="both"/>
            <w:rPr>
              <w:rFonts w:eastAsia="Times New Roman" w:cs="Times New Roman"/>
              <w:bCs/>
              <w:szCs w:val="24"/>
            </w:rPr>
          </w:pPr>
        </w:p>
      </w:sdtContent>
    </w:sdt>
    <w:p w:rsidR="00D243F7" w:rsidRDefault="00D243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1751 </w:t>
      </w:r>
      <w:bookmarkStart w:id="1" w:name="AmendsCurrentLaw"/>
      <w:bookmarkEnd w:id="1"/>
      <w:r>
        <w:rPr>
          <w:rFonts w:cs="Times New Roman"/>
          <w:szCs w:val="24"/>
        </w:rPr>
        <w:t xml:space="preserve">amends current law </w:t>
      </w:r>
      <w:r>
        <w:t>relating to the regulation and tax treatment of facilities in the ERCOT power region that demand a large load of interruptible power.</w:t>
      </w:r>
    </w:p>
    <w:p w:rsidR="00D243F7" w:rsidRPr="00056E1C" w:rsidRDefault="00D243F7" w:rsidP="000F1DF9">
      <w:pPr>
        <w:spacing w:after="0" w:line="240" w:lineRule="auto"/>
        <w:jc w:val="both"/>
        <w:rPr>
          <w:rFonts w:eastAsia="Times New Roman" w:cs="Times New Roman"/>
          <w:szCs w:val="24"/>
        </w:rPr>
      </w:pPr>
    </w:p>
    <w:p w:rsidR="00D243F7" w:rsidRPr="005C2A78" w:rsidRDefault="00D243F7" w:rsidP="00EA083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DC1E38B1F84ABD98F86D87D1291059"/>
          </w:placeholder>
        </w:sdtPr>
        <w:sdtContent>
          <w:r>
            <w:rPr>
              <w:rFonts w:eastAsia="Times New Roman" w:cs="Times New Roman"/>
              <w:b/>
              <w:szCs w:val="24"/>
              <w:u w:val="single"/>
            </w:rPr>
            <w:t>RULEMAKING AUTHORITY</w:t>
          </w:r>
        </w:sdtContent>
      </w:sdt>
    </w:p>
    <w:p w:rsidR="00D243F7" w:rsidRPr="006529C4" w:rsidRDefault="00D243F7" w:rsidP="00EA0834">
      <w:pPr>
        <w:spacing w:after="0" w:line="240" w:lineRule="auto"/>
        <w:jc w:val="both"/>
        <w:rPr>
          <w:rFonts w:cs="Times New Roman"/>
          <w:szCs w:val="24"/>
        </w:rPr>
      </w:pPr>
    </w:p>
    <w:p w:rsidR="00D243F7" w:rsidRPr="006529C4" w:rsidRDefault="00D243F7" w:rsidP="00EA0834">
      <w:pPr>
        <w:spacing w:after="0" w:line="240" w:lineRule="auto"/>
        <w:jc w:val="both"/>
        <w:rPr>
          <w:rFonts w:cs="Times New Roman"/>
          <w:szCs w:val="24"/>
        </w:rPr>
      </w:pPr>
      <w:r w:rsidRPr="001F79A1">
        <w:rPr>
          <w:rFonts w:cs="Times New Roman"/>
          <w:szCs w:val="24"/>
        </w:rPr>
        <w:t>Rulemaking authority is expressly granted to the Public Util</w:t>
      </w:r>
      <w:r>
        <w:rPr>
          <w:rFonts w:cs="Times New Roman"/>
          <w:szCs w:val="24"/>
        </w:rPr>
        <w:t>ity</w:t>
      </w:r>
      <w:r w:rsidRPr="001F79A1">
        <w:rPr>
          <w:rFonts w:cs="Times New Roman"/>
          <w:szCs w:val="24"/>
        </w:rPr>
        <w:t xml:space="preserve"> Commission of Texas in SECTION 2 (Section 39.360, Utilities Code) of this bill.</w:t>
      </w:r>
    </w:p>
    <w:p w:rsidR="00D243F7" w:rsidRPr="006529C4" w:rsidRDefault="00D243F7" w:rsidP="00EA0834">
      <w:pPr>
        <w:spacing w:after="0" w:line="240" w:lineRule="auto"/>
        <w:jc w:val="both"/>
        <w:rPr>
          <w:rFonts w:cs="Times New Roman"/>
          <w:szCs w:val="24"/>
        </w:rPr>
      </w:pPr>
    </w:p>
    <w:p w:rsidR="00D243F7" w:rsidRPr="005C2A78" w:rsidRDefault="00D243F7" w:rsidP="00EA083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5091D5D99C45C0ADB850451D19CC2B"/>
          </w:placeholder>
        </w:sdtPr>
        <w:sdtContent>
          <w:r>
            <w:rPr>
              <w:rFonts w:eastAsia="Times New Roman" w:cs="Times New Roman"/>
              <w:b/>
              <w:szCs w:val="24"/>
              <w:u w:val="single"/>
            </w:rPr>
            <w:t>SECTION BY SECTION ANALYSIS</w:t>
          </w:r>
        </w:sdtContent>
      </w:sdt>
    </w:p>
    <w:p w:rsidR="00D243F7" w:rsidRPr="005C2A78" w:rsidRDefault="00D243F7" w:rsidP="00EA0834">
      <w:pPr>
        <w:spacing w:after="0" w:line="240" w:lineRule="auto"/>
        <w:jc w:val="both"/>
        <w:rPr>
          <w:rFonts w:eastAsia="Times New Roman" w:cs="Times New Roman"/>
          <w:szCs w:val="24"/>
        </w:rPr>
      </w:pPr>
    </w:p>
    <w:p w:rsidR="00D243F7" w:rsidRDefault="00D243F7" w:rsidP="00D243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C64D6">
        <w:rPr>
          <w:rFonts w:eastAsia="Times New Roman" w:cs="Times New Roman"/>
          <w:szCs w:val="24"/>
        </w:rPr>
        <w:t>Subchapter D, Chapter 39, Utilities Code, by adding Section 39.1591</w:t>
      </w:r>
      <w:r>
        <w:rPr>
          <w:rFonts w:eastAsia="Times New Roman" w:cs="Times New Roman"/>
          <w:szCs w:val="24"/>
        </w:rPr>
        <w:t>, as follows:</w:t>
      </w:r>
    </w:p>
    <w:p w:rsidR="00D243F7" w:rsidRDefault="00D243F7" w:rsidP="00D243F7">
      <w:pPr>
        <w:spacing w:after="0" w:line="240" w:lineRule="auto"/>
        <w:jc w:val="both"/>
        <w:rPr>
          <w:rFonts w:eastAsia="Times New Roman" w:cs="Times New Roman"/>
          <w:szCs w:val="24"/>
        </w:rPr>
      </w:pPr>
    </w:p>
    <w:p w:rsidR="00D243F7" w:rsidRDefault="00D243F7" w:rsidP="00D243F7">
      <w:pPr>
        <w:spacing w:after="0" w:line="240" w:lineRule="auto"/>
        <w:ind w:left="720"/>
        <w:jc w:val="both"/>
        <w:rPr>
          <w:rFonts w:eastAsia="Times New Roman" w:cs="Times New Roman"/>
          <w:szCs w:val="24"/>
        </w:rPr>
      </w:pPr>
      <w:r w:rsidRPr="000C64D6">
        <w:rPr>
          <w:rFonts w:eastAsia="Times New Roman" w:cs="Times New Roman"/>
          <w:szCs w:val="24"/>
        </w:rPr>
        <w:t>Sec. 39.1591. VIRTUAL CURRENCY MINING AS DEMAND RESPONSE. (a)</w:t>
      </w:r>
      <w:r>
        <w:rPr>
          <w:rFonts w:eastAsia="Times New Roman" w:cs="Times New Roman"/>
          <w:szCs w:val="24"/>
        </w:rPr>
        <w:t xml:space="preserve"> Defines "virtual currency" and "virtual currency mining facility."</w:t>
      </w:r>
    </w:p>
    <w:p w:rsidR="00D243F7" w:rsidRDefault="00D243F7" w:rsidP="00D243F7">
      <w:pPr>
        <w:spacing w:after="0" w:line="240" w:lineRule="auto"/>
        <w:ind w:left="720"/>
        <w:jc w:val="both"/>
        <w:rPr>
          <w:rFonts w:eastAsia="Times New Roman" w:cs="Times New Roman"/>
          <w:szCs w:val="24"/>
        </w:rPr>
      </w:pPr>
    </w:p>
    <w:p w:rsidR="00D243F7" w:rsidRPr="005C2A78" w:rsidRDefault="00D243F7" w:rsidP="00D243F7">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0C64D6">
        <w:rPr>
          <w:rFonts w:eastAsia="Times New Roman" w:cs="Times New Roman"/>
          <w:szCs w:val="24"/>
        </w:rPr>
        <w:t>Public Utilit</w:t>
      </w:r>
      <w:r>
        <w:rPr>
          <w:rFonts w:eastAsia="Times New Roman" w:cs="Times New Roman"/>
          <w:szCs w:val="24"/>
        </w:rPr>
        <w:t>y</w:t>
      </w:r>
      <w:r w:rsidRPr="000C64D6">
        <w:rPr>
          <w:rFonts w:eastAsia="Times New Roman" w:cs="Times New Roman"/>
          <w:szCs w:val="24"/>
        </w:rPr>
        <w:t xml:space="preserve"> Commission of Texas</w:t>
      </w:r>
      <w:r>
        <w:rPr>
          <w:rFonts w:eastAsia="Times New Roman" w:cs="Times New Roman"/>
          <w:szCs w:val="24"/>
        </w:rPr>
        <w:t xml:space="preserve"> (PUC) to </w:t>
      </w:r>
      <w:r w:rsidRPr="000C64D6">
        <w:rPr>
          <w:rFonts w:eastAsia="Times New Roman" w:cs="Times New Roman"/>
          <w:szCs w:val="24"/>
        </w:rPr>
        <w:t>require the independent organization certified under Section 39.151</w:t>
      </w:r>
      <w:r>
        <w:rPr>
          <w:rFonts w:eastAsia="Times New Roman" w:cs="Times New Roman"/>
          <w:szCs w:val="24"/>
        </w:rPr>
        <w:t xml:space="preserve"> (Essential Organizations)</w:t>
      </w:r>
      <w:r w:rsidRPr="000C64D6">
        <w:rPr>
          <w:rFonts w:eastAsia="Times New Roman" w:cs="Times New Roman"/>
          <w:szCs w:val="24"/>
        </w:rPr>
        <w:t xml:space="preserve"> for the</w:t>
      </w:r>
      <w:r>
        <w:rPr>
          <w:rFonts w:eastAsia="Times New Roman" w:cs="Times New Roman"/>
          <w:szCs w:val="24"/>
        </w:rPr>
        <w:t xml:space="preserve"> </w:t>
      </w:r>
      <w:r w:rsidRPr="002F4FD2">
        <w:rPr>
          <w:rFonts w:eastAsia="Times New Roman" w:cs="Times New Roman"/>
          <w:szCs w:val="24"/>
        </w:rPr>
        <w:t>Electric Reliability Council of Texas</w:t>
      </w:r>
      <w:r w:rsidRPr="000C64D6">
        <w:rPr>
          <w:rFonts w:eastAsia="Times New Roman" w:cs="Times New Roman"/>
          <w:szCs w:val="24"/>
        </w:rPr>
        <w:t xml:space="preserve"> </w:t>
      </w:r>
      <w:r>
        <w:rPr>
          <w:rFonts w:eastAsia="Times New Roman" w:cs="Times New Roman"/>
          <w:szCs w:val="24"/>
        </w:rPr>
        <w:t>(</w:t>
      </w:r>
      <w:r w:rsidRPr="000C64D6">
        <w:rPr>
          <w:rFonts w:eastAsia="Times New Roman" w:cs="Times New Roman"/>
          <w:szCs w:val="24"/>
        </w:rPr>
        <w:t>ERCOT</w:t>
      </w:r>
      <w:r>
        <w:rPr>
          <w:rFonts w:eastAsia="Times New Roman" w:cs="Times New Roman"/>
          <w:szCs w:val="24"/>
        </w:rPr>
        <w:t>)</w:t>
      </w:r>
      <w:r w:rsidRPr="000C64D6">
        <w:rPr>
          <w:rFonts w:eastAsia="Times New Roman" w:cs="Times New Roman"/>
          <w:szCs w:val="24"/>
        </w:rPr>
        <w:t xml:space="preserve"> power region to ensure that any demand response program operated by the independent organization to respond to emergencies that provides compensation for load reductions is open to participation by a virtual currency mining facility that is registered as a large flexible load under Section 39.360 only if the anticipated demand provided under Section 39.360(b) for all facilities of that type participating in the program is less than 10 percent of the total load required by all loads in the program.</w:t>
      </w:r>
    </w:p>
    <w:p w:rsidR="00D243F7" w:rsidRPr="005C2A78" w:rsidRDefault="00D243F7" w:rsidP="00D243F7">
      <w:pPr>
        <w:spacing w:after="0" w:line="240" w:lineRule="auto"/>
        <w:jc w:val="both"/>
        <w:rPr>
          <w:rFonts w:eastAsia="Times New Roman" w:cs="Times New Roman"/>
          <w:szCs w:val="24"/>
        </w:rPr>
      </w:pPr>
    </w:p>
    <w:p w:rsidR="00D243F7" w:rsidRDefault="00D243F7" w:rsidP="00D243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w:t>
      </w:r>
      <w:r w:rsidRPr="000C64D6">
        <w:t xml:space="preserve"> </w:t>
      </w:r>
      <w:r w:rsidRPr="000C64D6">
        <w:rPr>
          <w:rFonts w:eastAsia="Times New Roman" w:cs="Times New Roman"/>
          <w:szCs w:val="24"/>
        </w:rPr>
        <w:t>Subchapter H, Chapter 39, Utilities Code, by adding Section 39.360</w:t>
      </w:r>
      <w:r>
        <w:rPr>
          <w:rFonts w:eastAsia="Times New Roman" w:cs="Times New Roman"/>
          <w:szCs w:val="24"/>
        </w:rPr>
        <w:t>, as follows:</w:t>
      </w:r>
    </w:p>
    <w:p w:rsidR="00D243F7" w:rsidRDefault="00D243F7" w:rsidP="00D243F7">
      <w:pPr>
        <w:spacing w:after="0" w:line="240" w:lineRule="auto"/>
        <w:jc w:val="both"/>
        <w:rPr>
          <w:rFonts w:eastAsia="Times New Roman" w:cs="Times New Roman"/>
          <w:szCs w:val="24"/>
        </w:rPr>
      </w:pPr>
    </w:p>
    <w:p w:rsidR="00D243F7" w:rsidRDefault="00D243F7" w:rsidP="00D243F7">
      <w:pPr>
        <w:spacing w:after="0" w:line="240" w:lineRule="auto"/>
        <w:ind w:left="720"/>
        <w:jc w:val="both"/>
        <w:rPr>
          <w:rFonts w:eastAsia="Times New Roman" w:cs="Times New Roman"/>
          <w:szCs w:val="24"/>
        </w:rPr>
      </w:pPr>
      <w:r w:rsidRPr="000C64D6">
        <w:rPr>
          <w:rFonts w:eastAsia="Times New Roman" w:cs="Times New Roman"/>
          <w:szCs w:val="24"/>
        </w:rPr>
        <w:t>Sec. 39.360. LARGE FLEXIBLE LOAD REGISTRATION. (a)</w:t>
      </w:r>
      <w:r>
        <w:rPr>
          <w:rFonts w:eastAsia="Times New Roman" w:cs="Times New Roman"/>
          <w:szCs w:val="24"/>
        </w:rPr>
        <w:t xml:space="preserve"> Requires the PUC by rule to </w:t>
      </w:r>
      <w:r w:rsidRPr="000C64D6">
        <w:rPr>
          <w:rFonts w:eastAsia="Times New Roman" w:cs="Times New Roman"/>
          <w:szCs w:val="24"/>
        </w:rPr>
        <w:t xml:space="preserve">require a person </w:t>
      </w:r>
      <w:r>
        <w:rPr>
          <w:rFonts w:eastAsia="Times New Roman" w:cs="Times New Roman"/>
          <w:szCs w:val="24"/>
        </w:rPr>
        <w:t xml:space="preserve">operating a facility </w:t>
      </w:r>
      <w:r w:rsidRPr="000C64D6">
        <w:rPr>
          <w:rFonts w:eastAsia="Times New Roman" w:cs="Times New Roman"/>
          <w:szCs w:val="24"/>
        </w:rPr>
        <w:t>who enters into an agreement for retail electric service in the ERCOT power region to register the facility receiving service as a large flexible load under this section if:</w:t>
      </w:r>
    </w:p>
    <w:p w:rsidR="00D243F7" w:rsidRDefault="00D243F7" w:rsidP="00D243F7">
      <w:pPr>
        <w:spacing w:after="0" w:line="240" w:lineRule="auto"/>
        <w:ind w:left="720"/>
        <w:jc w:val="both"/>
        <w:rPr>
          <w:rFonts w:eastAsia="Times New Roman" w:cs="Times New Roman"/>
          <w:szCs w:val="24"/>
        </w:rPr>
      </w:pPr>
    </w:p>
    <w:p w:rsidR="00D243F7" w:rsidRPr="000C64D6" w:rsidRDefault="00D243F7" w:rsidP="00D243F7">
      <w:pPr>
        <w:spacing w:after="0" w:line="240" w:lineRule="auto"/>
        <w:ind w:left="2160"/>
        <w:jc w:val="both"/>
        <w:rPr>
          <w:rFonts w:eastAsia="Times New Roman" w:cs="Times New Roman"/>
          <w:szCs w:val="24"/>
        </w:rPr>
      </w:pPr>
      <w:r w:rsidRPr="000C64D6">
        <w:rPr>
          <w:rFonts w:eastAsia="Times New Roman" w:cs="Times New Roman"/>
          <w:szCs w:val="24"/>
        </w:rPr>
        <w:t xml:space="preserve">(1) the person anticipates that the facility will require a total load of more than 10 megawatts before the second anniversary of the date the agreement begins; </w:t>
      </w:r>
    </w:p>
    <w:p w:rsidR="00D243F7" w:rsidRPr="000C64D6" w:rsidRDefault="00D243F7" w:rsidP="00D243F7">
      <w:pPr>
        <w:spacing w:after="0" w:line="240" w:lineRule="auto"/>
        <w:ind w:left="2160"/>
        <w:jc w:val="both"/>
        <w:rPr>
          <w:rFonts w:eastAsia="Times New Roman" w:cs="Times New Roman"/>
          <w:szCs w:val="24"/>
        </w:rPr>
      </w:pPr>
    </w:p>
    <w:p w:rsidR="00D243F7" w:rsidRDefault="00D243F7" w:rsidP="00D243F7">
      <w:pPr>
        <w:spacing w:after="0" w:line="240" w:lineRule="auto"/>
        <w:ind w:left="2160"/>
        <w:jc w:val="both"/>
        <w:rPr>
          <w:rFonts w:eastAsia="Times New Roman" w:cs="Times New Roman"/>
          <w:szCs w:val="24"/>
        </w:rPr>
      </w:pPr>
      <w:r w:rsidRPr="000C64D6">
        <w:rPr>
          <w:rFonts w:eastAsia="Times New Roman" w:cs="Times New Roman"/>
          <w:szCs w:val="24"/>
        </w:rPr>
        <w:t>(2) the facility load is interruptible</w:t>
      </w:r>
      <w:r>
        <w:rPr>
          <w:rFonts w:eastAsia="Times New Roman" w:cs="Times New Roman"/>
          <w:szCs w:val="24"/>
        </w:rPr>
        <w:t xml:space="preserve">; and </w:t>
      </w:r>
    </w:p>
    <w:p w:rsidR="00D243F7" w:rsidRDefault="00D243F7" w:rsidP="00D243F7">
      <w:pPr>
        <w:spacing w:after="0" w:line="240" w:lineRule="auto"/>
        <w:ind w:left="2160"/>
        <w:jc w:val="both"/>
        <w:rPr>
          <w:rFonts w:eastAsia="Times New Roman" w:cs="Times New Roman"/>
          <w:szCs w:val="24"/>
        </w:rPr>
      </w:pPr>
    </w:p>
    <w:p w:rsidR="00D243F7" w:rsidRDefault="00D243F7" w:rsidP="00D243F7">
      <w:pPr>
        <w:spacing w:after="0" w:line="240" w:lineRule="auto"/>
        <w:ind w:left="2160"/>
        <w:jc w:val="both"/>
        <w:rPr>
          <w:rFonts w:eastAsia="Times New Roman" w:cs="Times New Roman"/>
          <w:szCs w:val="24"/>
        </w:rPr>
      </w:pPr>
      <w:r>
        <w:rPr>
          <w:rFonts w:eastAsia="Times New Roman" w:cs="Times New Roman"/>
          <w:szCs w:val="24"/>
        </w:rPr>
        <w:t xml:space="preserve">(3) the facility is a computing load. </w:t>
      </w:r>
    </w:p>
    <w:p w:rsidR="00D243F7" w:rsidRDefault="00D243F7" w:rsidP="00D243F7">
      <w:pPr>
        <w:spacing w:after="0" w:line="240" w:lineRule="auto"/>
        <w:ind w:left="2160"/>
        <w:jc w:val="both"/>
        <w:rPr>
          <w:rFonts w:eastAsia="Times New Roman" w:cs="Times New Roman"/>
          <w:szCs w:val="24"/>
        </w:rPr>
      </w:pPr>
    </w:p>
    <w:p w:rsidR="00D243F7" w:rsidRPr="000C64D6" w:rsidRDefault="00D243F7" w:rsidP="00D243F7">
      <w:pPr>
        <w:spacing w:after="0" w:line="240" w:lineRule="auto"/>
        <w:ind w:left="1440"/>
        <w:jc w:val="both"/>
        <w:rPr>
          <w:rFonts w:eastAsia="Times New Roman" w:cs="Times New Roman"/>
          <w:szCs w:val="24"/>
        </w:rPr>
      </w:pPr>
      <w:r>
        <w:rPr>
          <w:rFonts w:eastAsia="Times New Roman" w:cs="Times New Roman"/>
          <w:szCs w:val="24"/>
        </w:rPr>
        <w:t xml:space="preserve">(b) Requires that the rules </w:t>
      </w:r>
      <w:r w:rsidRPr="000C64D6">
        <w:rPr>
          <w:rFonts w:eastAsia="Times New Roman" w:cs="Times New Roman"/>
          <w:szCs w:val="24"/>
        </w:rPr>
        <w:t>require a person described by Subsection (a) to:</w:t>
      </w:r>
    </w:p>
    <w:p w:rsidR="00D243F7" w:rsidRPr="000C64D6" w:rsidRDefault="00D243F7" w:rsidP="00D243F7">
      <w:pPr>
        <w:spacing w:after="0" w:line="240" w:lineRule="auto"/>
        <w:ind w:left="1440"/>
        <w:jc w:val="both"/>
        <w:rPr>
          <w:rFonts w:eastAsia="Times New Roman" w:cs="Times New Roman"/>
          <w:szCs w:val="24"/>
        </w:rPr>
      </w:pPr>
    </w:p>
    <w:p w:rsidR="00D243F7" w:rsidRPr="000C64D6" w:rsidRDefault="00D243F7" w:rsidP="00D243F7">
      <w:pPr>
        <w:spacing w:after="0" w:line="240" w:lineRule="auto"/>
        <w:ind w:left="2160"/>
        <w:jc w:val="both"/>
        <w:rPr>
          <w:rFonts w:eastAsia="Times New Roman" w:cs="Times New Roman"/>
          <w:szCs w:val="24"/>
        </w:rPr>
      </w:pPr>
      <w:r w:rsidRPr="000C64D6">
        <w:rPr>
          <w:rFonts w:eastAsia="Times New Roman" w:cs="Times New Roman"/>
          <w:szCs w:val="24"/>
        </w:rPr>
        <w:t xml:space="preserve">(1) register the large flexible load with the </w:t>
      </w:r>
      <w:r>
        <w:rPr>
          <w:rFonts w:eastAsia="Times New Roman" w:cs="Times New Roman"/>
          <w:szCs w:val="24"/>
        </w:rPr>
        <w:t>PUC</w:t>
      </w:r>
      <w:r w:rsidRPr="000C64D6">
        <w:rPr>
          <w:rFonts w:eastAsia="Times New Roman" w:cs="Times New Roman"/>
          <w:szCs w:val="24"/>
        </w:rPr>
        <w:t xml:space="preserve"> not later than one business day after the date the agreement begins; and</w:t>
      </w:r>
    </w:p>
    <w:p w:rsidR="00D243F7" w:rsidRPr="000C64D6" w:rsidRDefault="00D243F7" w:rsidP="00D243F7">
      <w:pPr>
        <w:spacing w:after="0" w:line="240" w:lineRule="auto"/>
        <w:ind w:left="2160"/>
        <w:jc w:val="both"/>
        <w:rPr>
          <w:rFonts w:eastAsia="Times New Roman" w:cs="Times New Roman"/>
          <w:szCs w:val="24"/>
        </w:rPr>
      </w:pPr>
    </w:p>
    <w:p w:rsidR="00D243F7" w:rsidRPr="000C64D6" w:rsidRDefault="00D243F7" w:rsidP="00D243F7">
      <w:pPr>
        <w:spacing w:after="0" w:line="240" w:lineRule="auto"/>
        <w:ind w:left="2160"/>
        <w:jc w:val="both"/>
        <w:rPr>
          <w:rFonts w:eastAsia="Times New Roman" w:cs="Times New Roman"/>
          <w:szCs w:val="24"/>
        </w:rPr>
      </w:pPr>
      <w:r w:rsidRPr="000C64D6">
        <w:rPr>
          <w:rFonts w:eastAsia="Times New Roman" w:cs="Times New Roman"/>
          <w:szCs w:val="24"/>
        </w:rPr>
        <w:t xml:space="preserve">(2) provide the </w:t>
      </w:r>
      <w:r>
        <w:rPr>
          <w:rFonts w:eastAsia="Times New Roman" w:cs="Times New Roman"/>
          <w:szCs w:val="24"/>
        </w:rPr>
        <w:t>PUC</w:t>
      </w:r>
      <w:r w:rsidRPr="000C64D6">
        <w:rPr>
          <w:rFonts w:eastAsia="Times New Roman" w:cs="Times New Roman"/>
          <w:szCs w:val="24"/>
        </w:rPr>
        <w:t xml:space="preserve"> with:</w:t>
      </w:r>
    </w:p>
    <w:p w:rsidR="00D243F7" w:rsidRPr="000C64D6" w:rsidRDefault="00D243F7" w:rsidP="00D243F7">
      <w:pPr>
        <w:spacing w:after="0" w:line="240" w:lineRule="auto"/>
        <w:ind w:left="2880"/>
        <w:jc w:val="both"/>
        <w:rPr>
          <w:rFonts w:eastAsia="Times New Roman" w:cs="Times New Roman"/>
          <w:szCs w:val="24"/>
        </w:rPr>
      </w:pPr>
    </w:p>
    <w:p w:rsidR="00D243F7" w:rsidRPr="000C64D6" w:rsidRDefault="00D243F7" w:rsidP="00D243F7">
      <w:pPr>
        <w:spacing w:after="0" w:line="240" w:lineRule="auto"/>
        <w:ind w:left="2880"/>
        <w:jc w:val="both"/>
        <w:rPr>
          <w:rFonts w:eastAsia="Times New Roman" w:cs="Times New Roman"/>
          <w:szCs w:val="24"/>
        </w:rPr>
      </w:pPr>
      <w:r w:rsidRPr="000C64D6">
        <w:rPr>
          <w:rFonts w:eastAsia="Times New Roman" w:cs="Times New Roman"/>
          <w:szCs w:val="24"/>
        </w:rPr>
        <w:t>(A) the location of the facility; and</w:t>
      </w:r>
    </w:p>
    <w:p w:rsidR="00D243F7" w:rsidRPr="000C64D6" w:rsidRDefault="00D243F7" w:rsidP="00D243F7">
      <w:pPr>
        <w:spacing w:after="0" w:line="240" w:lineRule="auto"/>
        <w:ind w:left="2880"/>
        <w:jc w:val="both"/>
        <w:rPr>
          <w:rFonts w:eastAsia="Times New Roman" w:cs="Times New Roman"/>
          <w:szCs w:val="24"/>
        </w:rPr>
      </w:pPr>
    </w:p>
    <w:p w:rsidR="00D243F7" w:rsidRPr="005C2A78" w:rsidRDefault="00D243F7" w:rsidP="00D243F7">
      <w:pPr>
        <w:spacing w:after="0" w:line="240" w:lineRule="auto"/>
        <w:ind w:left="2880"/>
        <w:jc w:val="both"/>
        <w:rPr>
          <w:rFonts w:eastAsia="Times New Roman" w:cs="Times New Roman"/>
          <w:szCs w:val="24"/>
        </w:rPr>
      </w:pPr>
      <w:r w:rsidRPr="000C64D6">
        <w:rPr>
          <w:rFonts w:eastAsia="Times New Roman" w:cs="Times New Roman"/>
          <w:szCs w:val="24"/>
        </w:rPr>
        <w:t>(B) the anticipated demand from the facility for the five-year period beginning on the date of the registration.</w:t>
      </w:r>
    </w:p>
    <w:p w:rsidR="00D243F7" w:rsidRPr="005C2A78" w:rsidRDefault="00D243F7" w:rsidP="00D243F7">
      <w:pPr>
        <w:spacing w:after="0" w:line="240" w:lineRule="auto"/>
        <w:jc w:val="both"/>
        <w:rPr>
          <w:rFonts w:eastAsia="Times New Roman" w:cs="Times New Roman"/>
          <w:szCs w:val="24"/>
        </w:rPr>
      </w:pPr>
    </w:p>
    <w:p w:rsidR="00D243F7" w:rsidRDefault="00D243F7" w:rsidP="00D243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C64D6">
        <w:rPr>
          <w:rFonts w:eastAsia="Times New Roman" w:cs="Times New Roman"/>
          <w:szCs w:val="24"/>
        </w:rPr>
        <w:t>Subchapter A, Chapter 312, Tax Code, by adding Section 312.0022</w:t>
      </w:r>
      <w:r>
        <w:rPr>
          <w:rFonts w:eastAsia="Times New Roman" w:cs="Times New Roman"/>
          <w:szCs w:val="24"/>
        </w:rPr>
        <w:t>, as follows:</w:t>
      </w:r>
    </w:p>
    <w:p w:rsidR="00D243F7" w:rsidRDefault="00D243F7" w:rsidP="00D243F7">
      <w:pPr>
        <w:spacing w:after="0" w:line="240" w:lineRule="auto"/>
        <w:jc w:val="both"/>
        <w:rPr>
          <w:rFonts w:eastAsia="Times New Roman" w:cs="Times New Roman"/>
          <w:szCs w:val="24"/>
        </w:rPr>
      </w:pPr>
    </w:p>
    <w:p w:rsidR="00D243F7" w:rsidRDefault="00D243F7" w:rsidP="00D243F7">
      <w:pPr>
        <w:spacing w:after="0" w:line="240" w:lineRule="auto"/>
        <w:ind w:left="720"/>
        <w:jc w:val="both"/>
        <w:rPr>
          <w:rFonts w:eastAsia="Times New Roman" w:cs="Times New Roman"/>
          <w:szCs w:val="24"/>
        </w:rPr>
      </w:pPr>
      <w:r w:rsidRPr="000C64D6">
        <w:rPr>
          <w:rFonts w:eastAsia="Times New Roman" w:cs="Times New Roman"/>
          <w:szCs w:val="24"/>
        </w:rPr>
        <w:t>Sec. 312.0022. PROHIBITION ON ABATEMENT OF TAXES ON CERTAIN VIRTUAL CURRENCY MINING PROPERTY. (a)</w:t>
      </w:r>
      <w:r w:rsidRPr="000C64D6">
        <w:t xml:space="preserve"> </w:t>
      </w:r>
      <w:r w:rsidRPr="000C64D6">
        <w:rPr>
          <w:rFonts w:eastAsia="Times New Roman" w:cs="Times New Roman"/>
          <w:szCs w:val="24"/>
        </w:rPr>
        <w:t>Defines "virtual currency" and "virtual currency mining facility."</w:t>
      </w:r>
    </w:p>
    <w:p w:rsidR="00D243F7" w:rsidRDefault="00D243F7" w:rsidP="00D243F7">
      <w:pPr>
        <w:spacing w:after="0" w:line="240" w:lineRule="auto"/>
        <w:ind w:left="720"/>
        <w:jc w:val="both"/>
        <w:rPr>
          <w:rFonts w:eastAsia="Times New Roman" w:cs="Times New Roman"/>
          <w:szCs w:val="24"/>
        </w:rPr>
      </w:pPr>
    </w:p>
    <w:p w:rsidR="00D243F7" w:rsidRDefault="00D243F7" w:rsidP="00D243F7">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0C64D6">
        <w:rPr>
          <w:rFonts w:eastAsia="Times New Roman" w:cs="Times New Roman"/>
          <w:szCs w:val="24"/>
        </w:rPr>
        <w:t>section applies only to a virtual currency mining facility registered as a large flexible load under Section 39.360, Utilities Code.</w:t>
      </w:r>
    </w:p>
    <w:p w:rsidR="00D243F7" w:rsidRDefault="00D243F7" w:rsidP="00D243F7">
      <w:pPr>
        <w:spacing w:after="0" w:line="240" w:lineRule="auto"/>
        <w:ind w:left="1440"/>
        <w:jc w:val="both"/>
        <w:rPr>
          <w:rFonts w:eastAsia="Times New Roman" w:cs="Times New Roman"/>
          <w:szCs w:val="24"/>
        </w:rPr>
      </w:pPr>
    </w:p>
    <w:p w:rsidR="00D243F7" w:rsidRDefault="00D243F7" w:rsidP="00D243F7">
      <w:pPr>
        <w:spacing w:after="0" w:line="240" w:lineRule="auto"/>
        <w:ind w:left="1440"/>
        <w:jc w:val="both"/>
        <w:rPr>
          <w:rFonts w:eastAsia="Times New Roman" w:cs="Times New Roman"/>
          <w:szCs w:val="24"/>
        </w:rPr>
      </w:pPr>
      <w:r>
        <w:rPr>
          <w:rFonts w:eastAsia="Times New Roman" w:cs="Times New Roman"/>
          <w:szCs w:val="24"/>
        </w:rPr>
        <w:t xml:space="preserve">(c) Prohibits the </w:t>
      </w:r>
      <w:r w:rsidRPr="000C64D6">
        <w:rPr>
          <w:rFonts w:eastAsia="Times New Roman" w:cs="Times New Roman"/>
          <w:szCs w:val="24"/>
        </w:rPr>
        <w:t xml:space="preserve">governing body of a taxing unit </w:t>
      </w:r>
      <w:r>
        <w:rPr>
          <w:rFonts w:eastAsia="Times New Roman" w:cs="Times New Roman"/>
          <w:szCs w:val="24"/>
        </w:rPr>
        <w:t>from entering</w:t>
      </w:r>
      <w:r w:rsidRPr="000C64D6">
        <w:rPr>
          <w:rFonts w:eastAsia="Times New Roman" w:cs="Times New Roman"/>
          <w:szCs w:val="24"/>
        </w:rPr>
        <w:t xml:space="preserve"> into an agreement under </w:t>
      </w:r>
      <w:r>
        <w:rPr>
          <w:rFonts w:eastAsia="Times New Roman" w:cs="Times New Roman"/>
          <w:szCs w:val="24"/>
        </w:rPr>
        <w:t>C</w:t>
      </w:r>
      <w:r w:rsidRPr="000C64D6">
        <w:rPr>
          <w:rFonts w:eastAsia="Times New Roman" w:cs="Times New Roman"/>
          <w:szCs w:val="24"/>
        </w:rPr>
        <w:t xml:space="preserve">hapter </w:t>
      </w:r>
      <w:r>
        <w:rPr>
          <w:rFonts w:eastAsia="Times New Roman" w:cs="Times New Roman"/>
          <w:szCs w:val="24"/>
        </w:rPr>
        <w:t xml:space="preserve">312 (Property Redevelopment and Tax Abatement Act) </w:t>
      </w:r>
      <w:r w:rsidRPr="000C64D6">
        <w:rPr>
          <w:rFonts w:eastAsia="Times New Roman" w:cs="Times New Roman"/>
          <w:szCs w:val="24"/>
        </w:rPr>
        <w:t>to exempt from taxation a portion of the value of real property on which a virtual currency mining facility is located or is planned to be located during the term of the agreement, or of tangible personal property that is located or is planned to be located on the real property during that term.</w:t>
      </w:r>
    </w:p>
    <w:p w:rsidR="00D243F7" w:rsidRDefault="00D243F7" w:rsidP="00D243F7">
      <w:pPr>
        <w:spacing w:after="0" w:line="240" w:lineRule="auto"/>
        <w:jc w:val="both"/>
        <w:rPr>
          <w:rFonts w:eastAsia="Times New Roman" w:cs="Times New Roman"/>
          <w:szCs w:val="24"/>
        </w:rPr>
      </w:pPr>
    </w:p>
    <w:p w:rsidR="00D243F7" w:rsidRDefault="00D243F7" w:rsidP="00D243F7">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0C64D6">
        <w:rPr>
          <w:rFonts w:eastAsia="Times New Roman" w:cs="Times New Roman"/>
          <w:szCs w:val="24"/>
        </w:rPr>
        <w:t>Section 312.0022, Tax Code, as added by this Act,</w:t>
      </w:r>
      <w:r>
        <w:rPr>
          <w:rFonts w:eastAsia="Times New Roman" w:cs="Times New Roman"/>
          <w:szCs w:val="24"/>
        </w:rPr>
        <w:t xml:space="preserve"> prospective. </w:t>
      </w:r>
    </w:p>
    <w:p w:rsidR="00D243F7" w:rsidRDefault="00D243F7" w:rsidP="00D243F7">
      <w:pPr>
        <w:spacing w:after="0" w:line="240" w:lineRule="auto"/>
        <w:jc w:val="both"/>
        <w:rPr>
          <w:rFonts w:eastAsia="Times New Roman" w:cs="Times New Roman"/>
          <w:szCs w:val="24"/>
        </w:rPr>
      </w:pPr>
    </w:p>
    <w:p w:rsidR="00D243F7" w:rsidRPr="00C8671F" w:rsidRDefault="00D243F7" w:rsidP="00D243F7">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D243F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F8D" w:rsidRDefault="00221F8D" w:rsidP="000F1DF9">
      <w:pPr>
        <w:spacing w:after="0" w:line="240" w:lineRule="auto"/>
      </w:pPr>
      <w:r>
        <w:separator/>
      </w:r>
    </w:p>
  </w:endnote>
  <w:endnote w:type="continuationSeparator" w:id="0">
    <w:p w:rsidR="00221F8D" w:rsidRDefault="00221F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1F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43F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43F7">
                <w:rPr>
                  <w:sz w:val="20"/>
                  <w:szCs w:val="20"/>
                </w:rPr>
                <w:t>C.S.S.B. 1751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43F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1F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F8D" w:rsidRDefault="00221F8D" w:rsidP="000F1DF9">
      <w:pPr>
        <w:spacing w:after="0" w:line="240" w:lineRule="auto"/>
      </w:pPr>
      <w:r>
        <w:separator/>
      </w:r>
    </w:p>
  </w:footnote>
  <w:footnote w:type="continuationSeparator" w:id="0">
    <w:p w:rsidR="00221F8D" w:rsidRDefault="00221F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465C"/>
    <w:multiLevelType w:val="hybridMultilevel"/>
    <w:tmpl w:val="D64E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C194B"/>
    <w:multiLevelType w:val="multilevel"/>
    <w:tmpl w:val="130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D557D"/>
    <w:multiLevelType w:val="multilevel"/>
    <w:tmpl w:val="C5A8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1F8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43F7"/>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56A5"/>
  <w15:docId w15:val="{F3A35973-9474-4993-8648-E8A22F99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43F7"/>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D2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6C7DD06D2D4A68B810060B5FA20933"/>
        <w:category>
          <w:name w:val="General"/>
          <w:gallery w:val="placeholder"/>
        </w:category>
        <w:types>
          <w:type w:val="bbPlcHdr"/>
        </w:types>
        <w:behaviors>
          <w:behavior w:val="content"/>
        </w:behaviors>
        <w:guid w:val="{542D2D49-8061-41A6-95A4-7BD3034296A2}"/>
      </w:docPartPr>
      <w:docPartBody>
        <w:p w:rsidR="00000000" w:rsidRDefault="00A31804"/>
      </w:docPartBody>
    </w:docPart>
    <w:docPart>
      <w:docPartPr>
        <w:name w:val="8311CA15F791450D912D0D96C5C66E9B"/>
        <w:category>
          <w:name w:val="General"/>
          <w:gallery w:val="placeholder"/>
        </w:category>
        <w:types>
          <w:type w:val="bbPlcHdr"/>
        </w:types>
        <w:behaviors>
          <w:behavior w:val="content"/>
        </w:behaviors>
        <w:guid w:val="{BA79D491-A5EC-4443-AB22-39C8D032B754}"/>
      </w:docPartPr>
      <w:docPartBody>
        <w:p w:rsidR="00000000" w:rsidRDefault="00A31804"/>
      </w:docPartBody>
    </w:docPart>
    <w:docPart>
      <w:docPartPr>
        <w:name w:val="617A4363064F43F480E9493A31890463"/>
        <w:category>
          <w:name w:val="General"/>
          <w:gallery w:val="placeholder"/>
        </w:category>
        <w:types>
          <w:type w:val="bbPlcHdr"/>
        </w:types>
        <w:behaviors>
          <w:behavior w:val="content"/>
        </w:behaviors>
        <w:guid w:val="{38563A99-68A3-4F88-9E3F-2832F5E9ED36}"/>
      </w:docPartPr>
      <w:docPartBody>
        <w:p w:rsidR="00000000" w:rsidRDefault="00A31804"/>
      </w:docPartBody>
    </w:docPart>
    <w:docPart>
      <w:docPartPr>
        <w:name w:val="444BDC328E984ACEBF55F26132884A5C"/>
        <w:category>
          <w:name w:val="General"/>
          <w:gallery w:val="placeholder"/>
        </w:category>
        <w:types>
          <w:type w:val="bbPlcHdr"/>
        </w:types>
        <w:behaviors>
          <w:behavior w:val="content"/>
        </w:behaviors>
        <w:guid w:val="{47C4C29A-354F-46FA-BD94-8C638232C1E8}"/>
      </w:docPartPr>
      <w:docPartBody>
        <w:p w:rsidR="00000000" w:rsidRDefault="00A31804"/>
      </w:docPartBody>
    </w:docPart>
    <w:docPart>
      <w:docPartPr>
        <w:name w:val="65F618372A4C4430864951C98EED17B0"/>
        <w:category>
          <w:name w:val="General"/>
          <w:gallery w:val="placeholder"/>
        </w:category>
        <w:types>
          <w:type w:val="bbPlcHdr"/>
        </w:types>
        <w:behaviors>
          <w:behavior w:val="content"/>
        </w:behaviors>
        <w:guid w:val="{1C98C0B6-2A85-4881-BF6B-FEEA8B40AE8C}"/>
      </w:docPartPr>
      <w:docPartBody>
        <w:p w:rsidR="00000000" w:rsidRDefault="00A31804"/>
      </w:docPartBody>
    </w:docPart>
    <w:docPart>
      <w:docPartPr>
        <w:name w:val="A11568F379BE4A6DBE4FE904C39977A3"/>
        <w:category>
          <w:name w:val="General"/>
          <w:gallery w:val="placeholder"/>
        </w:category>
        <w:types>
          <w:type w:val="bbPlcHdr"/>
        </w:types>
        <w:behaviors>
          <w:behavior w:val="content"/>
        </w:behaviors>
        <w:guid w:val="{9A3E7C5D-F355-4D10-AEB6-C0D865C8AD88}"/>
      </w:docPartPr>
      <w:docPartBody>
        <w:p w:rsidR="00000000" w:rsidRDefault="00A31804"/>
      </w:docPartBody>
    </w:docPart>
    <w:docPart>
      <w:docPartPr>
        <w:name w:val="9C6C06B315E24D09A82913B3FF3DDFF0"/>
        <w:category>
          <w:name w:val="General"/>
          <w:gallery w:val="placeholder"/>
        </w:category>
        <w:types>
          <w:type w:val="bbPlcHdr"/>
        </w:types>
        <w:behaviors>
          <w:behavior w:val="content"/>
        </w:behaviors>
        <w:guid w:val="{2AE0DDC8-DC79-4E96-AF43-510BA04E48BA}"/>
      </w:docPartPr>
      <w:docPartBody>
        <w:p w:rsidR="00000000" w:rsidRDefault="00A31804"/>
      </w:docPartBody>
    </w:docPart>
    <w:docPart>
      <w:docPartPr>
        <w:name w:val="1D9CF4B3AF2B4BC5BF89E354AFEA2945"/>
        <w:category>
          <w:name w:val="General"/>
          <w:gallery w:val="placeholder"/>
        </w:category>
        <w:types>
          <w:type w:val="bbPlcHdr"/>
        </w:types>
        <w:behaviors>
          <w:behavior w:val="content"/>
        </w:behaviors>
        <w:guid w:val="{CF499C21-8ECF-40DD-A937-8418A2A7311F}"/>
      </w:docPartPr>
      <w:docPartBody>
        <w:p w:rsidR="00000000" w:rsidRDefault="00A31804"/>
      </w:docPartBody>
    </w:docPart>
    <w:docPart>
      <w:docPartPr>
        <w:name w:val="B39714BE9C064EFBA0F5B4BD54E247FB"/>
        <w:category>
          <w:name w:val="General"/>
          <w:gallery w:val="placeholder"/>
        </w:category>
        <w:types>
          <w:type w:val="bbPlcHdr"/>
        </w:types>
        <w:behaviors>
          <w:behavior w:val="content"/>
        </w:behaviors>
        <w:guid w:val="{42157B53-4C97-41D2-859F-B22D24310C3D}"/>
      </w:docPartPr>
      <w:docPartBody>
        <w:p w:rsidR="00000000" w:rsidRDefault="00A31804"/>
      </w:docPartBody>
    </w:docPart>
    <w:docPart>
      <w:docPartPr>
        <w:name w:val="D100FF192D2F414DA0A9AEB4B295678B"/>
        <w:category>
          <w:name w:val="General"/>
          <w:gallery w:val="placeholder"/>
        </w:category>
        <w:types>
          <w:type w:val="bbPlcHdr"/>
        </w:types>
        <w:behaviors>
          <w:behavior w:val="content"/>
        </w:behaviors>
        <w:guid w:val="{9CD0EF8F-15DB-4211-96F5-BA34EA6A8648}"/>
      </w:docPartPr>
      <w:docPartBody>
        <w:p w:rsidR="00000000" w:rsidRDefault="00E72689" w:rsidP="00E72689">
          <w:pPr>
            <w:pStyle w:val="D100FF192D2F414DA0A9AEB4B295678B"/>
          </w:pPr>
          <w:r w:rsidRPr="00A30DD1">
            <w:rPr>
              <w:rStyle w:val="PlaceholderText"/>
            </w:rPr>
            <w:t>Click here to enter a date.</w:t>
          </w:r>
        </w:p>
      </w:docPartBody>
    </w:docPart>
    <w:docPart>
      <w:docPartPr>
        <w:name w:val="E1F583D7BDBB475F8D65B74439BAD519"/>
        <w:category>
          <w:name w:val="General"/>
          <w:gallery w:val="placeholder"/>
        </w:category>
        <w:types>
          <w:type w:val="bbPlcHdr"/>
        </w:types>
        <w:behaviors>
          <w:behavior w:val="content"/>
        </w:behaviors>
        <w:guid w:val="{555A9BBD-A9EC-4AC8-B7CB-F6EFA78660C2}"/>
      </w:docPartPr>
      <w:docPartBody>
        <w:p w:rsidR="00000000" w:rsidRDefault="00A31804"/>
      </w:docPartBody>
    </w:docPart>
    <w:docPart>
      <w:docPartPr>
        <w:name w:val="5E02DD10BDD74D9A859D39B491E47F88"/>
        <w:category>
          <w:name w:val="General"/>
          <w:gallery w:val="placeholder"/>
        </w:category>
        <w:types>
          <w:type w:val="bbPlcHdr"/>
        </w:types>
        <w:behaviors>
          <w:behavior w:val="content"/>
        </w:behaviors>
        <w:guid w:val="{63F5D79C-371E-4F49-BDE4-BD1B9D3F176C}"/>
      </w:docPartPr>
      <w:docPartBody>
        <w:p w:rsidR="00000000" w:rsidRDefault="00A31804"/>
      </w:docPartBody>
    </w:docPart>
    <w:docPart>
      <w:docPartPr>
        <w:name w:val="3F5D076D9453478A9DFC37445E42F4C2"/>
        <w:category>
          <w:name w:val="General"/>
          <w:gallery w:val="placeholder"/>
        </w:category>
        <w:types>
          <w:type w:val="bbPlcHdr"/>
        </w:types>
        <w:behaviors>
          <w:behavior w:val="content"/>
        </w:behaviors>
        <w:guid w:val="{C5F7D4C0-0FA3-4F73-8115-17508213C613}"/>
      </w:docPartPr>
      <w:docPartBody>
        <w:p w:rsidR="00000000" w:rsidRDefault="00E72689" w:rsidP="00E72689">
          <w:pPr>
            <w:pStyle w:val="3F5D076D9453478A9DFC37445E42F4C2"/>
          </w:pPr>
          <w:r>
            <w:rPr>
              <w:rFonts w:eastAsia="Times New Roman" w:cs="Times New Roman"/>
              <w:bCs/>
              <w:szCs w:val="24"/>
            </w:rPr>
            <w:t xml:space="preserve"> </w:t>
          </w:r>
        </w:p>
      </w:docPartBody>
    </w:docPart>
    <w:docPart>
      <w:docPartPr>
        <w:name w:val="CADC1E38B1F84ABD98F86D87D1291059"/>
        <w:category>
          <w:name w:val="General"/>
          <w:gallery w:val="placeholder"/>
        </w:category>
        <w:types>
          <w:type w:val="bbPlcHdr"/>
        </w:types>
        <w:behaviors>
          <w:behavior w:val="content"/>
        </w:behaviors>
        <w:guid w:val="{6425BAF6-2B15-4D21-B0CA-14FC68AF73C6}"/>
      </w:docPartPr>
      <w:docPartBody>
        <w:p w:rsidR="00000000" w:rsidRDefault="00A31804"/>
      </w:docPartBody>
    </w:docPart>
    <w:docPart>
      <w:docPartPr>
        <w:name w:val="C55091D5D99C45C0ADB850451D19CC2B"/>
        <w:category>
          <w:name w:val="General"/>
          <w:gallery w:val="placeholder"/>
        </w:category>
        <w:types>
          <w:type w:val="bbPlcHdr"/>
        </w:types>
        <w:behaviors>
          <w:behavior w:val="content"/>
        </w:behaviors>
        <w:guid w:val="{49BB7F86-F7C3-47F2-8642-35D9E30843C3}"/>
      </w:docPartPr>
      <w:docPartBody>
        <w:p w:rsidR="00000000" w:rsidRDefault="00A318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1804"/>
    <w:rsid w:val="00A54AD6"/>
    <w:rsid w:val="00A57564"/>
    <w:rsid w:val="00B252A4"/>
    <w:rsid w:val="00B5530B"/>
    <w:rsid w:val="00C129E8"/>
    <w:rsid w:val="00C968BA"/>
    <w:rsid w:val="00D63E87"/>
    <w:rsid w:val="00D705C9"/>
    <w:rsid w:val="00E11D0C"/>
    <w:rsid w:val="00E35A8C"/>
    <w:rsid w:val="00E65C8A"/>
    <w:rsid w:val="00E7268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689"/>
    <w:rPr>
      <w:color w:val="808080"/>
    </w:rPr>
  </w:style>
  <w:style w:type="paragraph" w:customStyle="1" w:styleId="D100FF192D2F414DA0A9AEB4B295678B">
    <w:name w:val="D100FF192D2F414DA0A9AEB4B295678B"/>
    <w:rsid w:val="00E72689"/>
    <w:pPr>
      <w:spacing w:after="160" w:line="259" w:lineRule="auto"/>
    </w:pPr>
  </w:style>
  <w:style w:type="paragraph" w:customStyle="1" w:styleId="3F5D076D9453478A9DFC37445E42F4C2">
    <w:name w:val="3F5D076D9453478A9DFC37445E42F4C2"/>
    <w:rsid w:val="00E7268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851</Words>
  <Characters>4851</Characters>
  <Application>Microsoft Office Word</Application>
  <DocSecurity>0</DocSecurity>
  <Lines>40</Lines>
  <Paragraphs>11</Paragraphs>
  <ScaleCrop>false</ScaleCrop>
  <Company>Texas Legislative Council</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2023-04-05T00:09:00Z</cp:lastPrinted>
  <dcterms:created xsi:type="dcterms:W3CDTF">2015-05-29T14:24:00Z</dcterms:created>
  <dcterms:modified xsi:type="dcterms:W3CDTF">2023-04-05T00:09:00Z</dcterms:modified>
</cp:coreProperties>
</file>

<file path=docProps/custom.xml><?xml version="1.0" encoding="utf-8"?>
<op:Properties xmlns:vt="http://schemas.openxmlformats.org/officeDocument/2006/docPropsVTypes" xmlns:op="http://schemas.openxmlformats.org/officeDocument/2006/custom-properties"/>
</file>