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1613E" w14:paraId="6EDF0C9B" w14:textId="77777777" w:rsidTr="00345119">
        <w:tc>
          <w:tcPr>
            <w:tcW w:w="9576" w:type="dxa"/>
            <w:noWrap/>
          </w:tcPr>
          <w:p w14:paraId="265A3CE6" w14:textId="77777777" w:rsidR="008423E4" w:rsidRPr="0022177D" w:rsidRDefault="00E264D9" w:rsidP="00160057">
            <w:pPr>
              <w:pStyle w:val="Heading1"/>
            </w:pPr>
            <w:r w:rsidRPr="00631897">
              <w:t>BILL ANALYSIS</w:t>
            </w:r>
          </w:p>
        </w:tc>
      </w:tr>
    </w:tbl>
    <w:p w14:paraId="7DF39A54" w14:textId="77777777" w:rsidR="008423E4" w:rsidRPr="0022177D" w:rsidRDefault="008423E4" w:rsidP="00160057">
      <w:pPr>
        <w:jc w:val="center"/>
      </w:pPr>
    </w:p>
    <w:p w14:paraId="05748AD2" w14:textId="77777777" w:rsidR="008423E4" w:rsidRPr="00B31F0E" w:rsidRDefault="008423E4" w:rsidP="00160057"/>
    <w:p w14:paraId="62FE48F8" w14:textId="77777777" w:rsidR="008423E4" w:rsidRPr="00742794" w:rsidRDefault="008423E4" w:rsidP="0016005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1613E" w14:paraId="168AD6C4" w14:textId="77777777" w:rsidTr="00345119">
        <w:tc>
          <w:tcPr>
            <w:tcW w:w="9576" w:type="dxa"/>
          </w:tcPr>
          <w:p w14:paraId="50423227" w14:textId="77777777" w:rsidR="008423E4" w:rsidRPr="00861995" w:rsidRDefault="00E264D9" w:rsidP="00160057">
            <w:pPr>
              <w:jc w:val="right"/>
            </w:pPr>
            <w:r>
              <w:t>S.B. 1802</w:t>
            </w:r>
          </w:p>
        </w:tc>
      </w:tr>
      <w:tr w:rsidR="0071613E" w14:paraId="1585D01A" w14:textId="77777777" w:rsidTr="00345119">
        <w:tc>
          <w:tcPr>
            <w:tcW w:w="9576" w:type="dxa"/>
          </w:tcPr>
          <w:p w14:paraId="675DD373" w14:textId="77777777" w:rsidR="008423E4" w:rsidRPr="00861995" w:rsidRDefault="00E264D9" w:rsidP="00160057">
            <w:pPr>
              <w:jc w:val="right"/>
            </w:pPr>
            <w:r>
              <w:t xml:space="preserve">By: </w:t>
            </w:r>
            <w:r w:rsidR="00D76A55">
              <w:t>Springer</w:t>
            </w:r>
          </w:p>
        </w:tc>
      </w:tr>
      <w:tr w:rsidR="0071613E" w14:paraId="477BD680" w14:textId="77777777" w:rsidTr="00345119">
        <w:tc>
          <w:tcPr>
            <w:tcW w:w="9576" w:type="dxa"/>
          </w:tcPr>
          <w:p w14:paraId="498D2972" w14:textId="77777777" w:rsidR="008423E4" w:rsidRPr="00861995" w:rsidRDefault="00E264D9" w:rsidP="00160057">
            <w:pPr>
              <w:jc w:val="right"/>
            </w:pPr>
            <w:r>
              <w:t>Licensing &amp; Administrative Procedures</w:t>
            </w:r>
          </w:p>
        </w:tc>
      </w:tr>
      <w:tr w:rsidR="0071613E" w14:paraId="6F8199A0" w14:textId="77777777" w:rsidTr="00345119">
        <w:tc>
          <w:tcPr>
            <w:tcW w:w="9576" w:type="dxa"/>
          </w:tcPr>
          <w:p w14:paraId="74E0CF67" w14:textId="77777777" w:rsidR="008423E4" w:rsidRDefault="00E264D9" w:rsidP="00160057">
            <w:pPr>
              <w:jc w:val="right"/>
            </w:pPr>
            <w:r>
              <w:t>Committee Report (Unamended)</w:t>
            </w:r>
          </w:p>
        </w:tc>
      </w:tr>
    </w:tbl>
    <w:p w14:paraId="59EF8F07" w14:textId="77777777" w:rsidR="008423E4" w:rsidRDefault="008423E4" w:rsidP="00160057">
      <w:pPr>
        <w:tabs>
          <w:tab w:val="right" w:pos="9360"/>
        </w:tabs>
      </w:pPr>
    </w:p>
    <w:p w14:paraId="564EDBC7" w14:textId="77777777" w:rsidR="008423E4" w:rsidRDefault="008423E4" w:rsidP="00160057"/>
    <w:p w14:paraId="2A525223" w14:textId="77777777" w:rsidR="008423E4" w:rsidRDefault="008423E4" w:rsidP="0016005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1613E" w14:paraId="14A7E7C3" w14:textId="77777777" w:rsidTr="00345119">
        <w:tc>
          <w:tcPr>
            <w:tcW w:w="9576" w:type="dxa"/>
          </w:tcPr>
          <w:p w14:paraId="3325D152" w14:textId="77777777" w:rsidR="008423E4" w:rsidRPr="00A8133F" w:rsidRDefault="00E264D9" w:rsidP="0016005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CDC1101" w14:textId="77777777" w:rsidR="008423E4" w:rsidRDefault="008423E4" w:rsidP="00160057"/>
          <w:p w14:paraId="31852184" w14:textId="00EE4B39" w:rsidR="008423E4" w:rsidRDefault="00E264D9" w:rsidP="001600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Pursuant to state law governing the elimination of</w:t>
            </w:r>
            <w:r w:rsidR="00E54632">
              <w:t xml:space="preserve"> </w:t>
            </w:r>
            <w:r>
              <w:t>a</w:t>
            </w:r>
            <w:r w:rsidR="00E54632">
              <w:t xml:space="preserve">rchitectural </w:t>
            </w:r>
            <w:r>
              <w:t>b</w:t>
            </w:r>
            <w:r w:rsidR="00E54632">
              <w:t>arriers</w:t>
            </w:r>
            <w:r>
              <w:t xml:space="preserve">, the Texas Commission of </w:t>
            </w:r>
            <w:r>
              <w:t>Licensing and Regulation</w:t>
            </w:r>
            <w:r w:rsidR="00E54632">
              <w:t xml:space="preserve"> establish</w:t>
            </w:r>
            <w:r>
              <w:t>ed</w:t>
            </w:r>
            <w:r w:rsidR="00E54632">
              <w:t xml:space="preserve"> the Texas Accessibility Standards for public spaces</w:t>
            </w:r>
            <w:r>
              <w:t xml:space="preserve"> in 2012</w:t>
            </w:r>
            <w:r w:rsidR="00E54632">
              <w:t xml:space="preserve">. Under current law, design professionals are required to register a project, have it reviewed and approved, and arrange for inspection by the Texas Department of Licensing and Regulation (TDLR), </w:t>
            </w:r>
            <w:r w:rsidR="0078591A">
              <w:t xml:space="preserve">which is </w:t>
            </w:r>
            <w:r w:rsidR="00E54632">
              <w:t xml:space="preserve">the agency responsible for enforcement of the </w:t>
            </w:r>
            <w:r w:rsidR="0078591A">
              <w:t>state's a</w:t>
            </w:r>
            <w:r w:rsidR="00E54632">
              <w:t xml:space="preserve">rchitectural </w:t>
            </w:r>
            <w:r w:rsidR="0078591A">
              <w:t>b</w:t>
            </w:r>
            <w:r w:rsidR="00E54632">
              <w:t xml:space="preserve">arriers </w:t>
            </w:r>
            <w:r w:rsidR="0078591A">
              <w:t>laws</w:t>
            </w:r>
            <w:r w:rsidR="00E54632">
              <w:t xml:space="preserve">. In 2022, TDLR performed an extensive review of </w:t>
            </w:r>
            <w:r w:rsidR="009D332F">
              <w:t xml:space="preserve">the </w:t>
            </w:r>
            <w:r w:rsidR="009D332F" w:rsidRPr="00182C4E">
              <w:t>relevant</w:t>
            </w:r>
            <w:r w:rsidR="009D332F">
              <w:t xml:space="preserve"> statutes and rules relating to the elimination of architectural barriers</w:t>
            </w:r>
            <w:r w:rsidR="00E54632">
              <w:t xml:space="preserve">. </w:t>
            </w:r>
            <w:r w:rsidR="009D332F">
              <w:t>S.B. 1802</w:t>
            </w:r>
            <w:r w:rsidR="00E54632">
              <w:t xml:space="preserve"> reflects the updates to </w:t>
            </w:r>
            <w:r w:rsidR="0006310C">
              <w:t xml:space="preserve">administrative procedures in </w:t>
            </w:r>
            <w:r w:rsidR="009D332F">
              <w:t xml:space="preserve">state </w:t>
            </w:r>
            <w:r w:rsidR="009D332F" w:rsidRPr="00EC4AA6">
              <w:t>law stemming from</w:t>
            </w:r>
            <w:r w:rsidR="00E54632">
              <w:t xml:space="preserve"> th</w:t>
            </w:r>
            <w:r w:rsidR="009D332F">
              <w:t>at</w:t>
            </w:r>
            <w:r w:rsidR="00E54632">
              <w:t xml:space="preserve"> review</w:t>
            </w:r>
            <w:r w:rsidR="009D332F">
              <w:t xml:space="preserve"> and seeks</w:t>
            </w:r>
            <w:r w:rsidR="00E54632">
              <w:t xml:space="preserve"> to create consistency with TDLR's enabling law and existing authority to improve enforcement.</w:t>
            </w:r>
          </w:p>
          <w:p w14:paraId="5B6389BC" w14:textId="77777777" w:rsidR="008423E4" w:rsidRPr="00E26B13" w:rsidRDefault="008423E4" w:rsidP="00160057">
            <w:pPr>
              <w:rPr>
                <w:b/>
              </w:rPr>
            </w:pPr>
          </w:p>
        </w:tc>
      </w:tr>
      <w:tr w:rsidR="0071613E" w14:paraId="33428EAB" w14:textId="77777777" w:rsidTr="00345119">
        <w:tc>
          <w:tcPr>
            <w:tcW w:w="9576" w:type="dxa"/>
          </w:tcPr>
          <w:p w14:paraId="0872DDFD" w14:textId="77777777" w:rsidR="0017725B" w:rsidRDefault="00E264D9" w:rsidP="001600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9BAE497" w14:textId="77777777" w:rsidR="0017725B" w:rsidRDefault="0017725B" w:rsidP="00160057">
            <w:pPr>
              <w:rPr>
                <w:b/>
                <w:u w:val="single"/>
              </w:rPr>
            </w:pPr>
          </w:p>
          <w:p w14:paraId="29F67B6F" w14:textId="6FEA1F19" w:rsidR="00D76A55" w:rsidRPr="00D76A55" w:rsidRDefault="00E264D9" w:rsidP="00160057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21ED9A3B" w14:textId="77777777" w:rsidR="0017725B" w:rsidRPr="0017725B" w:rsidRDefault="0017725B" w:rsidP="00160057">
            <w:pPr>
              <w:rPr>
                <w:b/>
                <w:u w:val="single"/>
              </w:rPr>
            </w:pPr>
          </w:p>
        </w:tc>
      </w:tr>
      <w:tr w:rsidR="0071613E" w14:paraId="3BAEB101" w14:textId="77777777" w:rsidTr="00345119">
        <w:tc>
          <w:tcPr>
            <w:tcW w:w="9576" w:type="dxa"/>
          </w:tcPr>
          <w:p w14:paraId="1B6809AB" w14:textId="77777777" w:rsidR="008423E4" w:rsidRPr="00A8133F" w:rsidRDefault="00E264D9" w:rsidP="0016005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47ACE8" w14:textId="77777777" w:rsidR="008423E4" w:rsidRDefault="008423E4" w:rsidP="00160057"/>
          <w:p w14:paraId="701B52A5" w14:textId="633E6978" w:rsidR="00D76A55" w:rsidRDefault="00E264D9" w:rsidP="001600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6656A60" w14:textId="77777777" w:rsidR="008423E4" w:rsidRPr="00E21FDC" w:rsidRDefault="008423E4" w:rsidP="00160057">
            <w:pPr>
              <w:rPr>
                <w:b/>
              </w:rPr>
            </w:pPr>
          </w:p>
        </w:tc>
      </w:tr>
      <w:tr w:rsidR="0071613E" w14:paraId="4879148B" w14:textId="77777777" w:rsidTr="00345119">
        <w:tc>
          <w:tcPr>
            <w:tcW w:w="9576" w:type="dxa"/>
          </w:tcPr>
          <w:p w14:paraId="37C93BD2" w14:textId="77777777" w:rsidR="008423E4" w:rsidRPr="00A8133F" w:rsidRDefault="00E264D9" w:rsidP="0016005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E08B391" w14:textId="77777777" w:rsidR="008423E4" w:rsidRDefault="008423E4" w:rsidP="00160057"/>
          <w:p w14:paraId="037D8A79" w14:textId="4CD99F2F" w:rsidR="00927C31" w:rsidRDefault="00E264D9" w:rsidP="001600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1802 amends the </w:t>
            </w:r>
            <w:r w:rsidRPr="00D76A55">
              <w:t>Government Code</w:t>
            </w:r>
            <w:r>
              <w:t xml:space="preserve"> to </w:t>
            </w:r>
            <w:r w:rsidR="0084014B">
              <w:t>extend to</w:t>
            </w:r>
            <w:r w:rsidR="0006310C">
              <w:t xml:space="preserve"> </w:t>
            </w:r>
            <w:r>
              <w:t xml:space="preserve">the executive director of the Texas Department of </w:t>
            </w:r>
            <w:r w:rsidRPr="00D76A55">
              <w:t>Licensing and Regulation</w:t>
            </w:r>
            <w:r>
              <w:t xml:space="preserve"> (TLDR) </w:t>
            </w:r>
            <w:r w:rsidR="0084014B">
              <w:t>the authority currently granted to the Texas Commission of Licensing and Regulation</w:t>
            </w:r>
            <w:r w:rsidR="003D526A">
              <w:t xml:space="preserve"> (TCLR)</w:t>
            </w:r>
            <w:r w:rsidR="0084014B">
              <w:t xml:space="preserve"> </w:t>
            </w:r>
            <w:r>
              <w:t xml:space="preserve">to impose an administrative penalty </w:t>
            </w:r>
            <w:r w:rsidR="003D526A">
              <w:t>on a building owner for a violation of statutory provisions relating to the elimination of architectural barriers</w:t>
            </w:r>
            <w:r w:rsidRPr="00D76A55">
              <w:t xml:space="preserve"> or</w:t>
            </w:r>
            <w:r>
              <w:t xml:space="preserve"> </w:t>
            </w:r>
            <w:r w:rsidRPr="00D76A55">
              <w:t xml:space="preserve">a rule </w:t>
            </w:r>
            <w:r w:rsidR="00BB011E" w:rsidRPr="00D76A55">
              <w:t>adopted</w:t>
            </w:r>
            <w:r w:rsidR="003D526A">
              <w:t xml:space="preserve"> under those provisions</w:t>
            </w:r>
            <w:r w:rsidRPr="00D76A55">
              <w:t>.</w:t>
            </w:r>
            <w:r w:rsidR="00BB011E">
              <w:t xml:space="preserve"> </w:t>
            </w:r>
            <w:r w:rsidR="003D526A">
              <w:t xml:space="preserve">The bill </w:t>
            </w:r>
            <w:r w:rsidR="003D526A" w:rsidRPr="00C5225C">
              <w:t xml:space="preserve">repeals </w:t>
            </w:r>
            <w:r w:rsidRPr="00C5225C">
              <w:t>the following provisions:</w:t>
            </w:r>
          </w:p>
          <w:p w14:paraId="57D595E4" w14:textId="17322836" w:rsidR="00927C31" w:rsidRDefault="00E264D9" w:rsidP="001600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provision requiring TCLR, before imposing an administrative penalty for such a violation, to</w:t>
            </w:r>
            <w:r>
              <w:t xml:space="preserve"> notify a person responsible for the building and allow the person 90 days, or a longer period at TCLR's discretion, to bring the building into compliance; and</w:t>
            </w:r>
          </w:p>
          <w:p w14:paraId="00F50BA6" w14:textId="6BDB010B" w:rsidR="00927C31" w:rsidRDefault="00E264D9" w:rsidP="001600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provision requiring TDLR, </w:t>
            </w:r>
            <w:r w:rsidRPr="00A542D6">
              <w:t>at least quarterly and for as long as</w:t>
            </w:r>
            <w:r>
              <w:t xml:space="preserve"> it </w:t>
            </w:r>
            <w:r w:rsidRPr="00A542D6">
              <w:t xml:space="preserve">continues to monitor </w:t>
            </w:r>
            <w:r>
              <w:t>a</w:t>
            </w:r>
            <w:r w:rsidRPr="00A542D6">
              <w:t xml:space="preserve"> comp</w:t>
            </w:r>
            <w:r w:rsidRPr="00A542D6">
              <w:t>laint</w:t>
            </w:r>
            <w:r>
              <w:t xml:space="preserve"> alleging that a building or facility is not in compliance with TCLR standards and specifications</w:t>
            </w:r>
            <w:r w:rsidRPr="00A542D6">
              <w:t xml:space="preserve">, </w:t>
            </w:r>
            <w:r w:rsidR="00575486">
              <w:t>to</w:t>
            </w:r>
            <w:r w:rsidRPr="00A542D6">
              <w:t xml:space="preserve"> notify the person filing the complaint of the status of the monitoring</w:t>
            </w:r>
            <w:r>
              <w:t>.</w:t>
            </w:r>
            <w:r w:rsidR="00575486">
              <w:t xml:space="preserve"> </w:t>
            </w:r>
          </w:p>
          <w:p w14:paraId="6EDD9811" w14:textId="41874457" w:rsidR="009C36CD" w:rsidRDefault="00E264D9" w:rsidP="001600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replaces a</w:t>
            </w:r>
            <w:r w:rsidR="00927C31">
              <w:t>n obsolete</w:t>
            </w:r>
            <w:r>
              <w:t xml:space="preserve"> reference</w:t>
            </w:r>
            <w:r>
              <w:t xml:space="preserve"> to the Texas Rehabilitation Commission </w:t>
            </w:r>
            <w:r w:rsidR="00927C31">
              <w:t xml:space="preserve">with a reference </w:t>
            </w:r>
            <w:r>
              <w:t xml:space="preserve">to the Health and Human Services Commission </w:t>
            </w:r>
            <w:r w:rsidR="002250E3">
              <w:t>in a provision relating</w:t>
            </w:r>
            <w:r w:rsidR="00C670E1">
              <w:t xml:space="preserve"> to TCLR standards and specification</w:t>
            </w:r>
            <w:r w:rsidR="00E737C9">
              <w:t>s</w:t>
            </w:r>
            <w:r w:rsidR="00C670E1">
              <w:t xml:space="preserve"> </w:t>
            </w:r>
            <w:r w:rsidR="00C5225C" w:rsidRPr="002250E3">
              <w:t>that apply specifically to</w:t>
            </w:r>
            <w:r w:rsidR="00C5225C" w:rsidRPr="00C5225C">
              <w:t xml:space="preserve"> a building or facility occupied by a state agency involved in extending direct services to persons with mobility impairments</w:t>
            </w:r>
            <w:r w:rsidR="00C670E1">
              <w:t>.</w:t>
            </w:r>
          </w:p>
          <w:p w14:paraId="2CA94EED" w14:textId="273BE75E" w:rsidR="00394C28" w:rsidRDefault="00394C28" w:rsidP="001600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E6C20CE" w14:textId="540229AE" w:rsidR="00394C28" w:rsidRDefault="00E264D9" w:rsidP="001600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1802 </w:t>
            </w:r>
            <w:r w:rsidR="00C82A62">
              <w:t xml:space="preserve">establishes that its provisions </w:t>
            </w:r>
            <w:r>
              <w:t xml:space="preserve">do not affect the validity </w:t>
            </w:r>
            <w:r w:rsidRPr="00BB011E">
              <w:t>of a disciplinary action or other proceeding that was initiated before September 1, 2023, and that is pending on September 1, 2</w:t>
            </w:r>
            <w:r w:rsidRPr="00BB011E">
              <w:t xml:space="preserve">023. </w:t>
            </w:r>
            <w:r w:rsidR="00C82A62">
              <w:t>The bill provides for the continuation of the law in effect before the bill's effective date for purposes of a</w:t>
            </w:r>
            <w:r w:rsidRPr="00BB011E">
              <w:t xml:space="preserve"> disciplinary action that is pending on </w:t>
            </w:r>
            <w:r w:rsidR="00C82A62">
              <w:t>that date</w:t>
            </w:r>
            <w:r w:rsidRPr="00BB011E">
              <w:t>.</w:t>
            </w:r>
          </w:p>
          <w:p w14:paraId="42167E1C" w14:textId="2852F1ED" w:rsidR="009D332F" w:rsidRDefault="009D332F" w:rsidP="001600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117E29F" w14:textId="49A724BF" w:rsidR="009D332F" w:rsidRDefault="00E264D9" w:rsidP="001600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1802 repeals Section</w:t>
            </w:r>
            <w:r w:rsidR="0006310C">
              <w:t>s 469.058(c) and 469.059(c), Government Code.</w:t>
            </w:r>
            <w:r>
              <w:t xml:space="preserve"> </w:t>
            </w:r>
          </w:p>
          <w:p w14:paraId="461FAE93" w14:textId="77777777" w:rsidR="008423E4" w:rsidRPr="00835628" w:rsidRDefault="008423E4" w:rsidP="00160057">
            <w:pPr>
              <w:rPr>
                <w:b/>
              </w:rPr>
            </w:pPr>
          </w:p>
        </w:tc>
      </w:tr>
      <w:tr w:rsidR="0071613E" w14:paraId="3E4A98D9" w14:textId="77777777" w:rsidTr="00345119">
        <w:tc>
          <w:tcPr>
            <w:tcW w:w="9576" w:type="dxa"/>
          </w:tcPr>
          <w:p w14:paraId="6815FBD9" w14:textId="77777777" w:rsidR="008423E4" w:rsidRPr="00A8133F" w:rsidRDefault="00E264D9" w:rsidP="0016005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E6BAE7E" w14:textId="77777777" w:rsidR="008423E4" w:rsidRDefault="008423E4" w:rsidP="00160057"/>
          <w:p w14:paraId="7411D882" w14:textId="04C0DE6B" w:rsidR="008423E4" w:rsidRPr="003624F2" w:rsidRDefault="00E264D9" w:rsidP="001600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BABF107" w14:textId="77777777" w:rsidR="008423E4" w:rsidRPr="00233FDB" w:rsidRDefault="008423E4" w:rsidP="00160057">
            <w:pPr>
              <w:rPr>
                <w:b/>
              </w:rPr>
            </w:pPr>
          </w:p>
        </w:tc>
      </w:tr>
    </w:tbl>
    <w:p w14:paraId="4ED687AF" w14:textId="77777777" w:rsidR="008423E4" w:rsidRPr="00BE0E75" w:rsidRDefault="008423E4" w:rsidP="00160057">
      <w:pPr>
        <w:jc w:val="both"/>
        <w:rPr>
          <w:rFonts w:ascii="Arial" w:hAnsi="Arial"/>
          <w:sz w:val="16"/>
          <w:szCs w:val="16"/>
        </w:rPr>
      </w:pPr>
    </w:p>
    <w:p w14:paraId="17203006" w14:textId="77777777" w:rsidR="004108C3" w:rsidRPr="008423E4" w:rsidRDefault="004108C3" w:rsidP="0016005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276B" w14:textId="77777777" w:rsidR="00000000" w:rsidRDefault="00E264D9">
      <w:r>
        <w:separator/>
      </w:r>
    </w:p>
  </w:endnote>
  <w:endnote w:type="continuationSeparator" w:id="0">
    <w:p w14:paraId="6835CEDD" w14:textId="77777777" w:rsidR="00000000" w:rsidRDefault="00E2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AFD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1613E" w14:paraId="1E25B651" w14:textId="77777777" w:rsidTr="009C1E9A">
      <w:trPr>
        <w:cantSplit/>
      </w:trPr>
      <w:tc>
        <w:tcPr>
          <w:tcW w:w="0" w:type="pct"/>
        </w:tcPr>
        <w:p w14:paraId="4B55B7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262E0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40AE5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6E26D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ED3CB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1613E" w14:paraId="11C78FBB" w14:textId="77777777" w:rsidTr="009C1E9A">
      <w:trPr>
        <w:cantSplit/>
      </w:trPr>
      <w:tc>
        <w:tcPr>
          <w:tcW w:w="0" w:type="pct"/>
        </w:tcPr>
        <w:p w14:paraId="27D013C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4935E4E" w14:textId="77777777" w:rsidR="00EC379B" w:rsidRPr="009C1E9A" w:rsidRDefault="00E264D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29136-D</w:t>
          </w:r>
        </w:p>
      </w:tc>
      <w:tc>
        <w:tcPr>
          <w:tcW w:w="2453" w:type="pct"/>
        </w:tcPr>
        <w:p w14:paraId="5495CC32" w14:textId="02621E0A" w:rsidR="00EC379B" w:rsidRDefault="00E264D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60057">
            <w:t>23.129.1341</w:t>
          </w:r>
          <w:r>
            <w:fldChar w:fldCharType="end"/>
          </w:r>
        </w:p>
      </w:tc>
    </w:tr>
    <w:tr w:rsidR="0071613E" w14:paraId="09B38922" w14:textId="77777777" w:rsidTr="009C1E9A">
      <w:trPr>
        <w:cantSplit/>
      </w:trPr>
      <w:tc>
        <w:tcPr>
          <w:tcW w:w="0" w:type="pct"/>
        </w:tcPr>
        <w:p w14:paraId="2FE1AC3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F976A3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ED232A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0EDB1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1613E" w14:paraId="2086B13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7A09925" w14:textId="77777777" w:rsidR="00EC379B" w:rsidRDefault="00E264D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71FF8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A48763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552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38AA" w14:textId="77777777" w:rsidR="00000000" w:rsidRDefault="00E264D9">
      <w:r>
        <w:separator/>
      </w:r>
    </w:p>
  </w:footnote>
  <w:footnote w:type="continuationSeparator" w:id="0">
    <w:p w14:paraId="7708EC77" w14:textId="77777777" w:rsidR="00000000" w:rsidRDefault="00E2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73F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A96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BBE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675C0"/>
    <w:multiLevelType w:val="hybridMultilevel"/>
    <w:tmpl w:val="14568062"/>
    <w:lvl w:ilvl="0" w:tplc="D4E86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422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2A5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AE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C9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8E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08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61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816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3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5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10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057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C4E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50E3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38F2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4C28"/>
    <w:rsid w:val="00397F77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26A"/>
    <w:rsid w:val="003D726D"/>
    <w:rsid w:val="003E0875"/>
    <w:rsid w:val="003E0BB8"/>
    <w:rsid w:val="003E57B6"/>
    <w:rsid w:val="003E6CB0"/>
    <w:rsid w:val="003F1F5E"/>
    <w:rsid w:val="003F286A"/>
    <w:rsid w:val="003F6947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DB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38C2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56B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486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613E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38FF"/>
    <w:rsid w:val="0078552A"/>
    <w:rsid w:val="00785729"/>
    <w:rsid w:val="0078591A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B53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27DA7"/>
    <w:rsid w:val="00830EEB"/>
    <w:rsid w:val="008347A9"/>
    <w:rsid w:val="00835628"/>
    <w:rsid w:val="00835E90"/>
    <w:rsid w:val="0084014B"/>
    <w:rsid w:val="0084176D"/>
    <w:rsid w:val="008423E4"/>
    <w:rsid w:val="00842900"/>
    <w:rsid w:val="00847FA6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6EC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C31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022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32F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3A5E"/>
    <w:rsid w:val="00A46902"/>
    <w:rsid w:val="00A50CDB"/>
    <w:rsid w:val="00A51F3E"/>
    <w:rsid w:val="00A5364B"/>
    <w:rsid w:val="00A54142"/>
    <w:rsid w:val="00A542D6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6C0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11E"/>
    <w:rsid w:val="00BB5B36"/>
    <w:rsid w:val="00BB79CA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F83"/>
    <w:rsid w:val="00C42B41"/>
    <w:rsid w:val="00C46166"/>
    <w:rsid w:val="00C4710D"/>
    <w:rsid w:val="00C50CAD"/>
    <w:rsid w:val="00C5225C"/>
    <w:rsid w:val="00C57933"/>
    <w:rsid w:val="00C60206"/>
    <w:rsid w:val="00C615D4"/>
    <w:rsid w:val="00C61B5D"/>
    <w:rsid w:val="00C61C0E"/>
    <w:rsid w:val="00C61C64"/>
    <w:rsid w:val="00C61CDA"/>
    <w:rsid w:val="00C670E1"/>
    <w:rsid w:val="00C72956"/>
    <w:rsid w:val="00C73045"/>
    <w:rsid w:val="00C73212"/>
    <w:rsid w:val="00C7354A"/>
    <w:rsid w:val="00C74379"/>
    <w:rsid w:val="00C74DD8"/>
    <w:rsid w:val="00C75BEE"/>
    <w:rsid w:val="00C75C5E"/>
    <w:rsid w:val="00C7669F"/>
    <w:rsid w:val="00C76DFF"/>
    <w:rsid w:val="00C80B8F"/>
    <w:rsid w:val="00C82743"/>
    <w:rsid w:val="00C82A62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6A55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4D9"/>
    <w:rsid w:val="00E26B13"/>
    <w:rsid w:val="00E26EF8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632"/>
    <w:rsid w:val="00E55DA0"/>
    <w:rsid w:val="00E56033"/>
    <w:rsid w:val="00E61159"/>
    <w:rsid w:val="00E61DCA"/>
    <w:rsid w:val="00E625DA"/>
    <w:rsid w:val="00E634DC"/>
    <w:rsid w:val="00E667F3"/>
    <w:rsid w:val="00E67794"/>
    <w:rsid w:val="00E70CC6"/>
    <w:rsid w:val="00E71254"/>
    <w:rsid w:val="00E737C9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4AA6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0C75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04C2D9-00F1-4DAE-8472-4B81973E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60C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0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0C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0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0C75"/>
    <w:rPr>
      <w:b/>
      <w:bCs/>
    </w:rPr>
  </w:style>
  <w:style w:type="paragraph" w:styleId="Revision">
    <w:name w:val="Revision"/>
    <w:hidden/>
    <w:uiPriority w:val="99"/>
    <w:semiHidden/>
    <w:rsid w:val="0050756B"/>
    <w:rPr>
      <w:sz w:val="24"/>
      <w:szCs w:val="24"/>
    </w:rPr>
  </w:style>
  <w:style w:type="character" w:styleId="Hyperlink">
    <w:name w:val="Hyperlink"/>
    <w:basedOn w:val="DefaultParagraphFont"/>
    <w:unhideWhenUsed/>
    <w:rsid w:val="0050756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5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40F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2755</Characters>
  <Application>Microsoft Office Word</Application>
  <DocSecurity>4</DocSecurity>
  <Lines>65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SB01802 (Committee Report (Unamended))</vt:lpstr>
    </vt:vector>
  </TitlesOfParts>
  <Company>State of Texas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29136</dc:subject>
  <dc:creator>State of Texas</dc:creator>
  <dc:description>SB 1802 by Springer-(H)Licensing &amp; Administrative Procedures</dc:description>
  <cp:lastModifiedBy>Damian Duarte</cp:lastModifiedBy>
  <cp:revision>2</cp:revision>
  <cp:lastPrinted>2003-11-26T17:21:00Z</cp:lastPrinted>
  <dcterms:created xsi:type="dcterms:W3CDTF">2023-05-16T20:59:00Z</dcterms:created>
  <dcterms:modified xsi:type="dcterms:W3CDTF">2023-05-16T20:59:00Z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23.129.1341</vt:lpwstr>
  </property>
</Properties>
</file>