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B2558" w14:paraId="0E9EE063" w14:textId="77777777" w:rsidTr="00345119">
        <w:tc>
          <w:tcPr>
            <w:tcW w:w="9576" w:type="dxa"/>
            <w:noWrap/>
          </w:tcPr>
          <w:p w14:paraId="097CAA53" w14:textId="77777777" w:rsidR="008423E4" w:rsidRPr="0022177D" w:rsidRDefault="00935FE1" w:rsidP="006529F1">
            <w:pPr>
              <w:pStyle w:val="Heading1"/>
            </w:pPr>
            <w:r w:rsidRPr="00631897">
              <w:t>BILL ANALYSIS</w:t>
            </w:r>
          </w:p>
        </w:tc>
      </w:tr>
    </w:tbl>
    <w:p w14:paraId="0012EC38" w14:textId="77777777" w:rsidR="008423E4" w:rsidRPr="0022177D" w:rsidRDefault="008423E4" w:rsidP="006529F1">
      <w:pPr>
        <w:jc w:val="center"/>
      </w:pPr>
    </w:p>
    <w:p w14:paraId="70FCC0EF" w14:textId="77777777" w:rsidR="008423E4" w:rsidRPr="00B31F0E" w:rsidRDefault="008423E4" w:rsidP="006529F1"/>
    <w:p w14:paraId="2B82918E" w14:textId="77777777" w:rsidR="008423E4" w:rsidRPr="00742794" w:rsidRDefault="008423E4" w:rsidP="006529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2558" w14:paraId="41A163CF" w14:textId="77777777" w:rsidTr="00345119">
        <w:tc>
          <w:tcPr>
            <w:tcW w:w="9576" w:type="dxa"/>
          </w:tcPr>
          <w:p w14:paraId="4B16B819" w14:textId="582777F0" w:rsidR="008423E4" w:rsidRPr="00861995" w:rsidRDefault="00935FE1" w:rsidP="006529F1">
            <w:pPr>
              <w:jc w:val="right"/>
            </w:pPr>
            <w:r>
              <w:t>S.B. 1887</w:t>
            </w:r>
          </w:p>
        </w:tc>
      </w:tr>
      <w:tr w:rsidR="000B2558" w14:paraId="07E60F4F" w14:textId="77777777" w:rsidTr="00345119">
        <w:tc>
          <w:tcPr>
            <w:tcW w:w="9576" w:type="dxa"/>
          </w:tcPr>
          <w:p w14:paraId="677ED609" w14:textId="3B8A4B08" w:rsidR="008423E4" w:rsidRPr="00861995" w:rsidRDefault="00935FE1" w:rsidP="006529F1">
            <w:pPr>
              <w:jc w:val="right"/>
            </w:pPr>
            <w:r>
              <w:t xml:space="preserve">By: </w:t>
            </w:r>
            <w:r w:rsidR="00616EC9">
              <w:t>West</w:t>
            </w:r>
          </w:p>
        </w:tc>
      </w:tr>
      <w:tr w:rsidR="000B2558" w14:paraId="551D39CB" w14:textId="77777777" w:rsidTr="00345119">
        <w:tc>
          <w:tcPr>
            <w:tcW w:w="9576" w:type="dxa"/>
          </w:tcPr>
          <w:p w14:paraId="1FE5FCBA" w14:textId="577307B5" w:rsidR="008423E4" w:rsidRPr="00861995" w:rsidRDefault="00935FE1" w:rsidP="006529F1">
            <w:pPr>
              <w:jc w:val="right"/>
            </w:pPr>
            <w:r>
              <w:t>Higher Education</w:t>
            </w:r>
          </w:p>
        </w:tc>
      </w:tr>
      <w:tr w:rsidR="000B2558" w14:paraId="57C37443" w14:textId="77777777" w:rsidTr="00345119">
        <w:tc>
          <w:tcPr>
            <w:tcW w:w="9576" w:type="dxa"/>
          </w:tcPr>
          <w:p w14:paraId="5D3F12DC" w14:textId="13C549EE" w:rsidR="008423E4" w:rsidRDefault="00935FE1" w:rsidP="006529F1">
            <w:pPr>
              <w:jc w:val="right"/>
            </w:pPr>
            <w:r>
              <w:t>Committee Report (Unamended)</w:t>
            </w:r>
          </w:p>
        </w:tc>
      </w:tr>
    </w:tbl>
    <w:p w14:paraId="00500F3A" w14:textId="77777777" w:rsidR="008423E4" w:rsidRDefault="008423E4" w:rsidP="006529F1">
      <w:pPr>
        <w:tabs>
          <w:tab w:val="right" w:pos="9360"/>
        </w:tabs>
      </w:pPr>
    </w:p>
    <w:p w14:paraId="1A64D23B" w14:textId="77777777" w:rsidR="008423E4" w:rsidRDefault="008423E4" w:rsidP="006529F1"/>
    <w:p w14:paraId="28E1D0B7" w14:textId="77777777" w:rsidR="008423E4" w:rsidRDefault="008423E4" w:rsidP="006529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B2558" w14:paraId="4C24A2A8" w14:textId="77777777" w:rsidTr="00345119">
        <w:tc>
          <w:tcPr>
            <w:tcW w:w="9576" w:type="dxa"/>
          </w:tcPr>
          <w:p w14:paraId="7A10D5EC" w14:textId="77777777" w:rsidR="008423E4" w:rsidRPr="00A8133F" w:rsidRDefault="00935FE1" w:rsidP="006529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EBC228" w14:textId="77777777" w:rsidR="008423E4" w:rsidRDefault="008423E4" w:rsidP="006529F1"/>
          <w:p w14:paraId="16E7313D" w14:textId="2A8D947B" w:rsidR="006F6286" w:rsidRDefault="00935FE1" w:rsidP="006529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93663">
              <w:t>S</w:t>
            </w:r>
            <w:r w:rsidR="00625DB3">
              <w:t>.</w:t>
            </w:r>
            <w:r w:rsidRPr="00A93663">
              <w:t>B</w:t>
            </w:r>
            <w:r w:rsidR="00625DB3">
              <w:t>.</w:t>
            </w:r>
            <w:r w:rsidRPr="00A93663">
              <w:t xml:space="preserve"> 25</w:t>
            </w:r>
            <w:r w:rsidR="00625DB3">
              <w:t>, passed by the</w:t>
            </w:r>
            <w:r w:rsidRPr="00A93663">
              <w:t xml:space="preserve"> 86</w:t>
            </w:r>
            <w:r w:rsidR="00625DB3">
              <w:t xml:space="preserve">th </w:t>
            </w:r>
            <w:r w:rsidR="001F0828">
              <w:t xml:space="preserve">Texas </w:t>
            </w:r>
            <w:r w:rsidR="00625DB3">
              <w:t>Legislature,</w:t>
            </w:r>
            <w:r w:rsidRPr="00A93663">
              <w:t xml:space="preserve"> made significant reforms to the process and protections </w:t>
            </w:r>
            <w:r w:rsidR="00625DB3">
              <w:t>available to</w:t>
            </w:r>
            <w:r w:rsidRPr="00A93663">
              <w:t xml:space="preserve"> student</w:t>
            </w:r>
            <w:r w:rsidR="003247E7">
              <w:t>s</w:t>
            </w:r>
            <w:r w:rsidRPr="00A93663">
              <w:t xml:space="preserve"> </w:t>
            </w:r>
            <w:r w:rsidR="00625DB3">
              <w:t>for</w:t>
            </w:r>
            <w:r w:rsidRPr="00A93663">
              <w:t xml:space="preserve"> understand</w:t>
            </w:r>
            <w:r w:rsidR="00625DB3">
              <w:t>ing</w:t>
            </w:r>
            <w:r w:rsidRPr="00A93663">
              <w:t xml:space="preserve"> how their credits will apply when they transfer from a community college to a general academic teaching institution. </w:t>
            </w:r>
            <w:r w:rsidR="008C6970">
              <w:t>S.B. 1887</w:t>
            </w:r>
            <w:r w:rsidRPr="00A93663">
              <w:t xml:space="preserve"> </w:t>
            </w:r>
            <w:r w:rsidR="00625DB3">
              <w:t xml:space="preserve">seeks </w:t>
            </w:r>
            <w:r w:rsidR="00F6618F">
              <w:t xml:space="preserve">to </w:t>
            </w:r>
            <w:r>
              <w:t xml:space="preserve">build on these reforms </w:t>
            </w:r>
            <w:r>
              <w:t xml:space="preserve">and </w:t>
            </w:r>
            <w:r w:rsidR="00F6618F">
              <w:t>reflect best practices by revising provisions relating to fields of study curricula</w:t>
            </w:r>
            <w:r>
              <w:t xml:space="preserve"> </w:t>
            </w:r>
            <w:r w:rsidR="00DC20E2">
              <w:t xml:space="preserve">and </w:t>
            </w:r>
            <w:r w:rsidRPr="00A93663">
              <w:t xml:space="preserve">the transferability of </w:t>
            </w:r>
            <w:r w:rsidR="00AB0636">
              <w:t>credits</w:t>
            </w:r>
            <w:r w:rsidR="00AB0636" w:rsidRPr="00A93663">
              <w:t xml:space="preserve"> </w:t>
            </w:r>
            <w:r w:rsidRPr="00A93663">
              <w:t xml:space="preserve">earned by students in early college </w:t>
            </w:r>
            <w:r w:rsidR="00AD2954">
              <w:t>education programs</w:t>
            </w:r>
            <w:r>
              <w:t xml:space="preserve"> and </w:t>
            </w:r>
            <w:r w:rsidR="00DC20E2">
              <w:t xml:space="preserve">by </w:t>
            </w:r>
            <w:r>
              <w:t xml:space="preserve">revising certain </w:t>
            </w:r>
            <w:r w:rsidRPr="00A93663">
              <w:t xml:space="preserve">dispute resolution </w:t>
            </w:r>
            <w:r>
              <w:t xml:space="preserve">procedures relating to the </w:t>
            </w:r>
            <w:r>
              <w:t>transfer of credit, among other provisions.</w:t>
            </w:r>
          </w:p>
          <w:p w14:paraId="47CE306D" w14:textId="77777777" w:rsidR="008423E4" w:rsidRPr="00E26B13" w:rsidRDefault="008423E4" w:rsidP="006529F1">
            <w:pPr>
              <w:rPr>
                <w:b/>
              </w:rPr>
            </w:pPr>
          </w:p>
        </w:tc>
      </w:tr>
      <w:tr w:rsidR="000B2558" w14:paraId="37A70CAB" w14:textId="77777777" w:rsidTr="00345119">
        <w:tc>
          <w:tcPr>
            <w:tcW w:w="9576" w:type="dxa"/>
          </w:tcPr>
          <w:p w14:paraId="3480F7CD" w14:textId="77777777" w:rsidR="0017725B" w:rsidRDefault="00935FE1" w:rsidP="006529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AF351C" w14:textId="77777777" w:rsidR="0017725B" w:rsidRDefault="0017725B" w:rsidP="006529F1">
            <w:pPr>
              <w:rPr>
                <w:b/>
                <w:u w:val="single"/>
              </w:rPr>
            </w:pPr>
          </w:p>
          <w:p w14:paraId="49865ABB" w14:textId="42538FF9" w:rsidR="0019485F" w:rsidRPr="0019485F" w:rsidRDefault="00935FE1" w:rsidP="006529F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4964B600" w14:textId="77777777" w:rsidR="0017725B" w:rsidRPr="0017725B" w:rsidRDefault="0017725B" w:rsidP="006529F1">
            <w:pPr>
              <w:rPr>
                <w:b/>
                <w:u w:val="single"/>
              </w:rPr>
            </w:pPr>
          </w:p>
        </w:tc>
      </w:tr>
      <w:tr w:rsidR="000B2558" w14:paraId="2B1FF30A" w14:textId="77777777" w:rsidTr="00345119">
        <w:tc>
          <w:tcPr>
            <w:tcW w:w="9576" w:type="dxa"/>
          </w:tcPr>
          <w:p w14:paraId="1E9DE0D4" w14:textId="77777777" w:rsidR="008423E4" w:rsidRPr="00A8133F" w:rsidRDefault="00935FE1" w:rsidP="006529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C6DD4A" w14:textId="77777777" w:rsidR="008423E4" w:rsidRDefault="008423E4" w:rsidP="006529F1"/>
          <w:p w14:paraId="40FF682D" w14:textId="0CE52EC6" w:rsidR="0019485F" w:rsidRDefault="00935FE1" w:rsidP="006529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BE2020">
              <w:t>Texas Higher Education Coordinating Board</w:t>
            </w:r>
            <w:r>
              <w:t xml:space="preserve"> in </w:t>
            </w:r>
            <w:r w:rsidR="00BE2020">
              <w:t>SECTION</w:t>
            </w:r>
            <w:r w:rsidR="00041D67">
              <w:t>S</w:t>
            </w:r>
            <w:r w:rsidR="00B60945">
              <w:t xml:space="preserve"> 1,</w:t>
            </w:r>
            <w:r w:rsidR="00041D67">
              <w:t xml:space="preserve"> </w:t>
            </w:r>
            <w:r w:rsidR="00751111">
              <w:t>4</w:t>
            </w:r>
            <w:r w:rsidR="006C29A8">
              <w:t>, 5,</w:t>
            </w:r>
            <w:r w:rsidR="00041D67">
              <w:t xml:space="preserve"> and</w:t>
            </w:r>
            <w:r w:rsidR="00BE2020">
              <w:t xml:space="preserve"> </w:t>
            </w:r>
            <w:r w:rsidR="00B04344">
              <w:t>6</w:t>
            </w:r>
            <w:r>
              <w:t xml:space="preserve"> of this bill.</w:t>
            </w:r>
          </w:p>
          <w:p w14:paraId="7E6606CD" w14:textId="77777777" w:rsidR="008423E4" w:rsidRPr="00E21FDC" w:rsidRDefault="008423E4" w:rsidP="006529F1">
            <w:pPr>
              <w:rPr>
                <w:b/>
              </w:rPr>
            </w:pPr>
          </w:p>
        </w:tc>
      </w:tr>
      <w:tr w:rsidR="000B2558" w14:paraId="17CAAEBB" w14:textId="77777777" w:rsidTr="00345119">
        <w:tc>
          <w:tcPr>
            <w:tcW w:w="9576" w:type="dxa"/>
          </w:tcPr>
          <w:p w14:paraId="03BB972F" w14:textId="77777777" w:rsidR="008423E4" w:rsidRPr="00A8133F" w:rsidRDefault="00935FE1" w:rsidP="006529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A3A3AA" w14:textId="77777777" w:rsidR="008423E4" w:rsidRDefault="008423E4" w:rsidP="006529F1"/>
          <w:p w14:paraId="26AEC617" w14:textId="2F0B6D85" w:rsidR="00C044D1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</w:t>
            </w:r>
            <w:r w:rsidR="004D2FDB">
              <w:t>amends the Education Code to</w:t>
            </w:r>
            <w:r w:rsidR="001F7571">
              <w:t xml:space="preserve"> authorize the Texas </w:t>
            </w:r>
            <w:r w:rsidR="00452E95">
              <w:t>H</w:t>
            </w:r>
            <w:r w:rsidR="001F7571">
              <w:t xml:space="preserve">igher Education Coordinating Board (THECB) by rule to </w:t>
            </w:r>
            <w:r w:rsidR="001F7571" w:rsidRPr="001F7571">
              <w:t>authorize a general academic teaching institution to adopt</w:t>
            </w:r>
            <w:r w:rsidR="000440FC">
              <w:t>, for each field of study curriculum developed by</w:t>
            </w:r>
            <w:r w:rsidR="0006114B">
              <w:t xml:space="preserve"> the</w:t>
            </w:r>
            <w:r w:rsidR="000440FC">
              <w:t xml:space="preserve"> THECB for which the institution offers a degree program,</w:t>
            </w:r>
            <w:r w:rsidR="001F7571">
              <w:t xml:space="preserve"> </w:t>
            </w:r>
            <w:r w:rsidR="001F7571" w:rsidRPr="001F7571">
              <w:t xml:space="preserve">a set of courses specific to </w:t>
            </w:r>
            <w:r w:rsidR="000440FC">
              <w:t>that</w:t>
            </w:r>
            <w:r w:rsidR="000440FC" w:rsidRPr="001F7571">
              <w:t xml:space="preserve"> </w:t>
            </w:r>
            <w:r w:rsidR="001F7571" w:rsidRPr="001F7571">
              <w:t xml:space="preserve">field of study, </w:t>
            </w:r>
            <w:r>
              <w:t>for</w:t>
            </w:r>
            <w:r w:rsidR="001F7571" w:rsidRPr="001F7571">
              <w:t xml:space="preserve"> a total of</w:t>
            </w:r>
            <w:r>
              <w:t xml:space="preserve"> at least</w:t>
            </w:r>
            <w:r w:rsidR="001F7571" w:rsidRPr="001F7571">
              <w:t xml:space="preserve"> six semester credit hours or the equivalent, that must be completed as part of the field of study curriculum for that institution.</w:t>
            </w:r>
            <w:r w:rsidR="00886576">
              <w:t xml:space="preserve"> The bill </w:t>
            </w:r>
            <w:r w:rsidR="00EA2EBA">
              <w:t xml:space="preserve">requires each </w:t>
            </w:r>
            <w:r w:rsidR="00EA2EBA" w:rsidRPr="006A064A">
              <w:t>general academic teaching institution</w:t>
            </w:r>
            <w:r w:rsidR="000440FC">
              <w:t xml:space="preserve"> that adopts such a set of courses</w:t>
            </w:r>
            <w:r w:rsidR="00EA2EBA" w:rsidRPr="006A064A">
              <w:t xml:space="preserve"> </w:t>
            </w:r>
            <w:r w:rsidR="00EA2EBA">
              <w:t xml:space="preserve">to </w:t>
            </w:r>
            <w:r w:rsidR="00EA2EBA" w:rsidRPr="00F029AD">
              <w:t xml:space="preserve">post </w:t>
            </w:r>
            <w:r w:rsidR="000440FC" w:rsidRPr="00F029AD">
              <w:t>the</w:t>
            </w:r>
            <w:r w:rsidR="00EA2EBA" w:rsidRPr="00F029AD">
              <w:t xml:space="preserve"> set of courses on its website</w:t>
            </w:r>
            <w:r w:rsidR="000440FC">
              <w:t xml:space="preserve"> with the associated course numbers under the common course numbering system</w:t>
            </w:r>
            <w:r w:rsidR="00EA2EBA">
              <w:t>.</w:t>
            </w:r>
            <w:r w:rsidR="00E777E3">
              <w:t xml:space="preserve"> </w:t>
            </w:r>
            <w:r w:rsidR="00B2018D">
              <w:t xml:space="preserve">With respect to the transfer to a general academic teaching institution </w:t>
            </w:r>
            <w:r w:rsidR="00B2018D" w:rsidRPr="00F66E75">
              <w:t xml:space="preserve">of a block of courses </w:t>
            </w:r>
            <w:r w:rsidR="00A64305" w:rsidRPr="00F66E75">
              <w:t xml:space="preserve">constituting a field of study curriculum </w:t>
            </w:r>
            <w:r w:rsidR="00B2018D" w:rsidRPr="00F66E75">
              <w:t>that a student successfully complete</w:t>
            </w:r>
            <w:r w:rsidR="00A64305" w:rsidRPr="00F66E75">
              <w:t>s</w:t>
            </w:r>
            <w:r w:rsidR="00B2018D">
              <w:t>, t</w:t>
            </w:r>
            <w:r w:rsidR="00E777E3" w:rsidRPr="00B2018D">
              <w:t xml:space="preserve">he bill specifies that the requirement for </w:t>
            </w:r>
            <w:r w:rsidR="00B2018D">
              <w:t>that</w:t>
            </w:r>
            <w:r w:rsidR="00E777E3" w:rsidRPr="00B2018D">
              <w:t xml:space="preserve"> block of courses to be substituted for that institution's lower division requirements for the degree program for the field of study into which the student transfers</w:t>
            </w:r>
            <w:r w:rsidR="007A5719" w:rsidRPr="00B2018D">
              <w:t xml:space="preserve"> is subject to </w:t>
            </w:r>
            <w:r w:rsidR="0006114B" w:rsidRPr="00B2018D">
              <w:t xml:space="preserve">the student having </w:t>
            </w:r>
            <w:r w:rsidR="007A5719" w:rsidRPr="00B2018D">
              <w:t>complet</w:t>
            </w:r>
            <w:r w:rsidR="0006114B" w:rsidRPr="00B2018D">
              <w:t>ed</w:t>
            </w:r>
            <w:r w:rsidR="007A5719" w:rsidRPr="00B2018D">
              <w:t xml:space="preserve"> the set of courses adopted by the institution for that field of study under the bill's provisions.</w:t>
            </w:r>
          </w:p>
          <w:p w14:paraId="7B3C9284" w14:textId="391672C4" w:rsidR="00C044D1" w:rsidRDefault="00C044D1" w:rsidP="006529F1">
            <w:pPr>
              <w:pStyle w:val="Header"/>
              <w:jc w:val="both"/>
            </w:pPr>
          </w:p>
          <w:p w14:paraId="74FC7A62" w14:textId="04E3BB4E" w:rsidR="00A25053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</w:t>
            </w:r>
            <w:r w:rsidR="007A5719">
              <w:t xml:space="preserve">replaces the requirement for </w:t>
            </w:r>
            <w:r>
              <w:t xml:space="preserve">the early college education program </w:t>
            </w:r>
            <w:r w:rsidR="007A5719">
              <w:t xml:space="preserve">to </w:t>
            </w:r>
            <w:r>
              <w:t xml:space="preserve">allow a participating student </w:t>
            </w:r>
            <w:r w:rsidRPr="00B666F5">
              <w:t>to</w:t>
            </w:r>
            <w:r w:rsidR="00DB2A7B">
              <w:t xml:space="preserve"> complete high school and</w:t>
            </w:r>
            <w:r w:rsidRPr="00B666F5">
              <w:t xml:space="preserve"> receive</w:t>
            </w:r>
            <w:r w:rsidRPr="00C4152E">
              <w:t>, on</w:t>
            </w:r>
            <w:r w:rsidRPr="00C4152E">
              <w:t xml:space="preserve"> or before the fifth anniversary of the date of the student's first day of high school, </w:t>
            </w:r>
            <w:r w:rsidR="00B666F5">
              <w:t xml:space="preserve">a </w:t>
            </w:r>
            <w:r w:rsidR="00B666F5" w:rsidRPr="00DB2A7B">
              <w:t>high school diploma</w:t>
            </w:r>
            <w:r w:rsidR="00B666F5">
              <w:t xml:space="preserve"> and </w:t>
            </w:r>
            <w:r>
              <w:t xml:space="preserve">either </w:t>
            </w:r>
            <w:r w:rsidR="007A5719">
              <w:t xml:space="preserve">an associate degree or at least 60 semester credit hours toward a baccalaureate degree </w:t>
            </w:r>
            <w:r w:rsidR="006A1758">
              <w:t xml:space="preserve">with a requirement for the program to allow a participating student to </w:t>
            </w:r>
            <w:r w:rsidR="00DB2A7B">
              <w:t xml:space="preserve">complete high school and </w:t>
            </w:r>
            <w:r w:rsidR="006A1758">
              <w:t>enroll in a program at a</w:t>
            </w:r>
            <w:r w:rsidR="00E927CA">
              <w:t>n</w:t>
            </w:r>
            <w:r w:rsidR="00D15F0A">
              <w:t xml:space="preserve"> </w:t>
            </w:r>
            <w:r w:rsidR="006A1758">
              <w:t xml:space="preserve">institution of higher education that will enable the student, on or before that fifth anniversary, </w:t>
            </w:r>
            <w:r w:rsidR="0006114B">
              <w:t xml:space="preserve">to </w:t>
            </w:r>
            <w:r w:rsidR="006A1758">
              <w:t xml:space="preserve">receive </w:t>
            </w:r>
            <w:r w:rsidR="006A1758" w:rsidRPr="00B666F5">
              <w:t xml:space="preserve">a </w:t>
            </w:r>
            <w:r w:rsidR="006A1758" w:rsidRPr="00F66E75">
              <w:t>high school diploma</w:t>
            </w:r>
            <w:r w:rsidR="006A1758">
              <w:t xml:space="preserve"> and either </w:t>
            </w:r>
            <w:r>
              <w:t>of the following:</w:t>
            </w:r>
          </w:p>
          <w:p w14:paraId="14EFFC30" w14:textId="77777777" w:rsidR="00A25053" w:rsidRDefault="00935FE1" w:rsidP="006529F1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an applied associate degree, as defined by THECB rule; or</w:t>
            </w:r>
          </w:p>
          <w:p w14:paraId="1A8B81BA" w14:textId="0CB78723" w:rsidR="00A25053" w:rsidRPr="00A25053" w:rsidRDefault="00935FE1" w:rsidP="006529F1">
            <w:pPr>
              <w:pStyle w:val="Header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an academic associate degree, as defined by THECB rule, with a completed field of st</w:t>
            </w:r>
            <w:r>
              <w:t xml:space="preserve">udy curriculum </w:t>
            </w:r>
            <w:r w:rsidR="006A1758" w:rsidRPr="00B666F5">
              <w:t>developed by</w:t>
            </w:r>
            <w:r w:rsidR="00AC047E">
              <w:t xml:space="preserve"> the</w:t>
            </w:r>
            <w:r w:rsidR="006A1758" w:rsidRPr="00B666F5">
              <w:t xml:space="preserve"> THECB</w:t>
            </w:r>
            <w:r w:rsidR="006A1758">
              <w:t xml:space="preserve"> </w:t>
            </w:r>
            <w:r>
              <w:t>that is transferable toward a baccalaureate degree at one or more general academic teaching institutions.</w:t>
            </w:r>
          </w:p>
          <w:p w14:paraId="09F09BF2" w14:textId="75685625" w:rsidR="00A25053" w:rsidRDefault="00A25053" w:rsidP="006529F1">
            <w:pPr>
              <w:pStyle w:val="Header"/>
              <w:jc w:val="both"/>
            </w:pPr>
          </w:p>
          <w:p w14:paraId="3EBDBF01" w14:textId="207F05B0" w:rsidR="00AF1FD3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</w:t>
            </w:r>
            <w:r w:rsidR="0006114B">
              <w:t>expands</w:t>
            </w:r>
            <w:r>
              <w:t xml:space="preserve"> the definition of "degree program" </w:t>
            </w:r>
            <w:r w:rsidR="00E0210B">
              <w:t xml:space="preserve">for purposes of provisions governing </w:t>
            </w:r>
            <w:r w:rsidR="0006114B">
              <w:t xml:space="preserve">the </w:t>
            </w:r>
            <w:r w:rsidR="00E0210B">
              <w:t xml:space="preserve">THECB </w:t>
            </w:r>
            <w:r>
              <w:t xml:space="preserve">to </w:t>
            </w:r>
            <w:r w:rsidR="00E0210B">
              <w:t>inclu</w:t>
            </w:r>
            <w:r w:rsidR="0006114B">
              <w:t>de</w:t>
            </w:r>
            <w:r w:rsidR="00E0210B">
              <w:t xml:space="preserve"> </w:t>
            </w:r>
            <w:r w:rsidR="000D41B8" w:rsidRPr="00EA758A">
              <w:t xml:space="preserve">applicable </w:t>
            </w:r>
            <w:r w:rsidR="0055407C" w:rsidRPr="00EA758A">
              <w:t xml:space="preserve">subject matter </w:t>
            </w:r>
            <w:r w:rsidR="00432C21" w:rsidRPr="00EA758A">
              <w:t>course</w:t>
            </w:r>
            <w:r w:rsidR="0055585D" w:rsidRPr="00EA758A">
              <w:t>s</w:t>
            </w:r>
            <w:r w:rsidR="00432C21">
              <w:t xml:space="preserve"> that</w:t>
            </w:r>
            <w:r w:rsidR="008A3EF7">
              <w:t xml:space="preserve">, when satisfactorily completed by a student, </w:t>
            </w:r>
            <w:r w:rsidR="00B60945">
              <w:t>will</w:t>
            </w:r>
            <w:r w:rsidR="00432C21">
              <w:t xml:space="preserve"> entitle </w:t>
            </w:r>
            <w:r w:rsidR="008A3EF7">
              <w:t>the</w:t>
            </w:r>
            <w:r w:rsidR="00432C21">
              <w:t xml:space="preserve"> student to </w:t>
            </w:r>
            <w:r w:rsidR="00432C21" w:rsidRPr="00432C21">
              <w:t>an academic associate degree, as defined by</w:t>
            </w:r>
            <w:r w:rsidR="00432C21">
              <w:t xml:space="preserve"> THECB </w:t>
            </w:r>
            <w:r w:rsidR="00432C21" w:rsidRPr="00432C21">
              <w:t>rule, or baccalaureate degree from a public junior college</w:t>
            </w:r>
            <w:r w:rsidR="00432C21">
              <w:t xml:space="preserve">. </w:t>
            </w:r>
            <w:r w:rsidR="00432C21" w:rsidRPr="00F66E75">
              <w:t>The bill specifies that</w:t>
            </w:r>
            <w:r w:rsidR="00B60945" w:rsidRPr="00F66E75">
              <w:t>,</w:t>
            </w:r>
            <w:r w:rsidR="00432C21" w:rsidRPr="00F66E75">
              <w:t xml:space="preserve"> </w:t>
            </w:r>
            <w:r w:rsidR="00B60945" w:rsidRPr="00F66E75">
              <w:t xml:space="preserve">for purposes of the term "certificate program," </w:t>
            </w:r>
            <w:r w:rsidR="00432C21" w:rsidRPr="00F66E75">
              <w:t xml:space="preserve">the </w:t>
            </w:r>
            <w:r w:rsidR="00BE79C1" w:rsidRPr="00F66E75">
              <w:t xml:space="preserve">associate degree from a technical institute or junior college to which a student </w:t>
            </w:r>
            <w:r w:rsidR="00B60945" w:rsidRPr="00F66E75">
              <w:t>will be</w:t>
            </w:r>
            <w:r w:rsidR="00BE79C1" w:rsidRPr="00F66E75">
              <w:t xml:space="preserve"> entitled</w:t>
            </w:r>
            <w:r w:rsidR="000D41B8" w:rsidRPr="00F66E75">
              <w:t xml:space="preserve"> for </w:t>
            </w:r>
            <w:r w:rsidR="008A3EF7">
              <w:t xml:space="preserve">satisfactory </w:t>
            </w:r>
            <w:r w:rsidR="000D41B8" w:rsidRPr="00F66E75">
              <w:t xml:space="preserve">completion of applicable </w:t>
            </w:r>
            <w:r w:rsidR="0055407C" w:rsidRPr="00F66E75">
              <w:t xml:space="preserve">subject matter </w:t>
            </w:r>
            <w:r w:rsidR="000D41B8" w:rsidRPr="00F66E75">
              <w:t>courses</w:t>
            </w:r>
            <w:r w:rsidR="00BE79C1" w:rsidRPr="00F66E75">
              <w:t xml:space="preserve"> </w:t>
            </w:r>
            <w:r w:rsidR="0055407C" w:rsidRPr="00F66E75">
              <w:t>excludes</w:t>
            </w:r>
            <w:r w:rsidR="00432C21" w:rsidRPr="00F66E75">
              <w:t xml:space="preserve"> an academic associate degree, as defined by THECB rule.</w:t>
            </w:r>
          </w:p>
          <w:p w14:paraId="5445B4DE" w14:textId="77777777" w:rsidR="00432C21" w:rsidRDefault="00432C21" w:rsidP="006529F1">
            <w:pPr>
              <w:pStyle w:val="Header"/>
              <w:jc w:val="both"/>
            </w:pPr>
          </w:p>
          <w:p w14:paraId="40A52CA8" w14:textId="04C40523" w:rsidR="001F7571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</w:t>
            </w:r>
            <w:r w:rsidR="006C29A8">
              <w:t xml:space="preserve">authorizes the THECB by rule to </w:t>
            </w:r>
            <w:r w:rsidR="006C29A8" w:rsidRPr="006C29A8">
              <w:t xml:space="preserve">approve a core curriculum of fewer than 42 semester credit hours for an associate degree program if the </w:t>
            </w:r>
            <w:r w:rsidR="006C29A8">
              <w:t xml:space="preserve">THECB </w:t>
            </w:r>
            <w:r w:rsidR="006C29A8" w:rsidRPr="006C29A8">
              <w:t>determines that the approval would facilitate the award of a degree or transfer of credit</w:t>
            </w:r>
            <w:r w:rsidR="00C31EFF">
              <w:t xml:space="preserve"> </w:t>
            </w:r>
            <w:r w:rsidR="00C31EFF" w:rsidRPr="00EA758A">
              <w:t>consistent with provisions governing the transfer of credit</w:t>
            </w:r>
            <w:r w:rsidR="006C29A8" w:rsidRPr="006C29A8">
              <w:t>.</w:t>
            </w:r>
            <w:r w:rsidR="005D4838">
              <w:t xml:space="preserve"> The bill </w:t>
            </w:r>
            <w:r w:rsidR="00243C78">
              <w:t>replaces</w:t>
            </w:r>
            <w:r w:rsidR="00A32032">
              <w:t xml:space="preserve"> </w:t>
            </w:r>
            <w:r w:rsidR="00243C78">
              <w:t>the</w:t>
            </w:r>
            <w:r w:rsidR="00A32032">
              <w:t xml:space="preserve"> requirement</w:t>
            </w:r>
            <w:r w:rsidR="00243C78">
              <w:t xml:space="preserve"> for the THECB</w:t>
            </w:r>
            <w:r w:rsidR="005D4838">
              <w:t xml:space="preserve">, in adopting rules regarding </w:t>
            </w:r>
            <w:r w:rsidR="00243C78">
              <w:t xml:space="preserve">the </w:t>
            </w:r>
            <w:r w:rsidR="005D4838">
              <w:t>recommended core curriculum</w:t>
            </w:r>
            <w:r w:rsidR="00243C78">
              <w:t xml:space="preserve">, </w:t>
            </w:r>
            <w:r w:rsidR="00A32032">
              <w:t>to use negotiated rulemaking procedures</w:t>
            </w:r>
            <w:r w:rsidR="00243C78">
              <w:t xml:space="preserve"> under the Negotiated Rulemaking Act with</w:t>
            </w:r>
            <w:r w:rsidR="00A32032">
              <w:t xml:space="preserve"> a requirement for the THECB </w:t>
            </w:r>
            <w:r w:rsidR="005D4838">
              <w:t xml:space="preserve">to appoint a committee </w:t>
            </w:r>
            <w:r w:rsidR="00243C78">
              <w:t xml:space="preserve">under the Administrative Procedure Act </w:t>
            </w:r>
            <w:r w:rsidR="005D4838">
              <w:t>to advise the THECB</w:t>
            </w:r>
            <w:r w:rsidR="00243C78">
              <w:t xml:space="preserve"> in adopting those rules</w:t>
            </w:r>
            <w:r w:rsidR="005D4838">
              <w:t xml:space="preserve">. </w:t>
            </w:r>
          </w:p>
          <w:p w14:paraId="1D9D03D7" w14:textId="607BA094" w:rsidR="00EE30B4" w:rsidRDefault="00EE30B4" w:rsidP="006529F1">
            <w:pPr>
              <w:pStyle w:val="Header"/>
              <w:jc w:val="both"/>
            </w:pPr>
          </w:p>
          <w:p w14:paraId="01CC2669" w14:textId="12E43694" w:rsidR="00EE30B4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requires a </w:t>
            </w:r>
            <w:r w:rsidR="00AC6CA3" w:rsidRPr="00AC6CA3">
              <w:t xml:space="preserve">public junior college, public state college, or public technical institute </w:t>
            </w:r>
            <w:r>
              <w:t>to award a stude</w:t>
            </w:r>
            <w:r>
              <w:t xml:space="preserve">nt a "Texas Direct" associate degree and to include an appropriate notation on the student's transcript if the student completes a field of study curriculum developed by the THECB and </w:t>
            </w:r>
            <w:r w:rsidR="00AC047E">
              <w:t xml:space="preserve">either </w:t>
            </w:r>
            <w:r>
              <w:t xml:space="preserve">the </w:t>
            </w:r>
            <w:r w:rsidR="00AC6CA3">
              <w:t>college</w:t>
            </w:r>
            <w:r>
              <w:t xml:space="preserve">'s core curriculum or an </w:t>
            </w:r>
            <w:r w:rsidRPr="006C29A8">
              <w:t>abbreviated core curriculum r</w:t>
            </w:r>
            <w:r w:rsidRPr="006C29A8">
              <w:t>elated to a specific approved field of study curriculum</w:t>
            </w:r>
            <w:r>
              <w:t xml:space="preserve"> transferable to one or more general academic teaching institutions.</w:t>
            </w:r>
          </w:p>
          <w:p w14:paraId="36690087" w14:textId="1A518E29" w:rsidR="006A064A" w:rsidRDefault="006A064A" w:rsidP="006529F1">
            <w:pPr>
              <w:pStyle w:val="Header"/>
              <w:jc w:val="both"/>
            </w:pPr>
          </w:p>
          <w:p w14:paraId="63F90611" w14:textId="164A647D" w:rsidR="00B93719" w:rsidRDefault="00935FE1" w:rsidP="006529F1">
            <w:pPr>
              <w:pStyle w:val="Header"/>
              <w:jc w:val="both"/>
            </w:pPr>
            <w:r w:rsidRPr="007D20CA">
              <w:t>S.B. 1887</w:t>
            </w:r>
            <w:r>
              <w:t xml:space="preserve"> </w:t>
            </w:r>
            <w:r w:rsidR="00B85B54">
              <w:t xml:space="preserve">changes </w:t>
            </w:r>
            <w:r w:rsidR="00B85B54" w:rsidRPr="00DB2A7B">
              <w:t>the scope and the applicability</w:t>
            </w:r>
            <w:r w:rsidR="00B85B54">
              <w:t xml:space="preserve"> of </w:t>
            </w:r>
            <w:r w:rsidR="00243C78">
              <w:t>provisions governing</w:t>
            </w:r>
            <w:r w:rsidR="00120DE0">
              <w:t xml:space="preserve"> </w:t>
            </w:r>
            <w:r w:rsidR="007A045D">
              <w:t xml:space="preserve">dispute resolution </w:t>
            </w:r>
            <w:r w:rsidR="00243C78">
              <w:t>concerning</w:t>
            </w:r>
            <w:r w:rsidR="007A045D">
              <w:t xml:space="preserve"> </w:t>
            </w:r>
            <w:r w:rsidR="00A25053">
              <w:t xml:space="preserve">the </w:t>
            </w:r>
            <w:r w:rsidR="00BF6E89">
              <w:t>transfer of</w:t>
            </w:r>
            <w:r w:rsidR="00243C78">
              <w:t xml:space="preserve"> lower division course</w:t>
            </w:r>
            <w:r w:rsidR="00BF6E89">
              <w:t xml:space="preserve"> credit </w:t>
            </w:r>
            <w:r w:rsidR="00DB2A7B">
              <w:t xml:space="preserve">between public institutions of higher education </w:t>
            </w:r>
            <w:r w:rsidR="00B85B54">
              <w:t xml:space="preserve">by making the provisions </w:t>
            </w:r>
            <w:r w:rsidR="00120DE0">
              <w:t>appl</w:t>
            </w:r>
            <w:r w:rsidR="00B85B54">
              <w:t xml:space="preserve">icable </w:t>
            </w:r>
            <w:r w:rsidR="00CB5809">
              <w:t xml:space="preserve">when </w:t>
            </w:r>
            <w:r w:rsidR="00A93DEB" w:rsidRPr="00EA758A">
              <w:t>a</w:t>
            </w:r>
            <w:r w:rsidR="00DB2A7B">
              <w:t>n</w:t>
            </w:r>
            <w:r w:rsidR="00A93DEB" w:rsidRPr="00EA758A">
              <w:t xml:space="preserve"> institution</w:t>
            </w:r>
            <w:r w:rsidR="00A93DEB">
              <w:t xml:space="preserve"> </w:t>
            </w:r>
            <w:r w:rsidR="001C3694" w:rsidRPr="001C3694">
              <w:t xml:space="preserve">proposes to deny the application toward </w:t>
            </w:r>
            <w:r>
              <w:t>the institution's core curriculum or a field of study curriculum</w:t>
            </w:r>
            <w:r w:rsidR="001C3694" w:rsidRPr="001C3694">
              <w:t xml:space="preserve"> of</w:t>
            </w:r>
            <w:r w:rsidR="001C3694">
              <w:t xml:space="preserve"> course credit earned by </w:t>
            </w:r>
            <w:r>
              <w:t>a</w:t>
            </w:r>
            <w:r w:rsidR="001C3694">
              <w:t xml:space="preserve"> student at </w:t>
            </w:r>
            <w:r w:rsidR="001C3694" w:rsidRPr="0031418E">
              <w:t>another institution</w:t>
            </w:r>
            <w:r w:rsidR="00D72D53">
              <w:t xml:space="preserve"> in the other institution's core curriculum or in a</w:t>
            </w:r>
            <w:r w:rsidR="00AB3698">
              <w:t xml:space="preserve"> field of study </w:t>
            </w:r>
            <w:r w:rsidR="00AB3698" w:rsidRPr="00B85B54">
              <w:t>curriculum</w:t>
            </w:r>
            <w:r w:rsidR="00B85B54" w:rsidRPr="0031418E">
              <w:t>, rather than</w:t>
            </w:r>
            <w:r w:rsidR="00B85B54">
              <w:t xml:space="preserve"> </w:t>
            </w:r>
            <w:r w:rsidR="008F5B2E">
              <w:t>w</w:t>
            </w:r>
            <w:r w:rsidR="00B85B54">
              <w:t xml:space="preserve">hen </w:t>
            </w:r>
            <w:r w:rsidR="00B85B54" w:rsidRPr="00DB2A7B">
              <w:t>an institution</w:t>
            </w:r>
            <w:r w:rsidR="00B85B54">
              <w:t xml:space="preserve"> d</w:t>
            </w:r>
            <w:r w:rsidR="0031418E">
              <w:t>oes not</w:t>
            </w:r>
            <w:r w:rsidR="00B85B54">
              <w:t xml:space="preserve"> accept course credit earned</w:t>
            </w:r>
            <w:r w:rsidR="00801F8E">
              <w:t xml:space="preserve"> by a student</w:t>
            </w:r>
            <w:r w:rsidR="00B85B54">
              <w:t xml:space="preserve"> at another </w:t>
            </w:r>
            <w:r w:rsidR="00B85B54" w:rsidRPr="00DB2A7B">
              <w:t>institution</w:t>
            </w:r>
            <w:r w:rsidR="008F5B2E">
              <w:t xml:space="preserve"> as under current law</w:t>
            </w:r>
            <w:r w:rsidR="00B85B54">
              <w:t>.</w:t>
            </w:r>
            <w:r w:rsidR="00F36C67">
              <w:t xml:space="preserve"> </w:t>
            </w:r>
            <w:r w:rsidR="00801F8E">
              <w:t xml:space="preserve">The bill updates the provisions to reflect this </w:t>
            </w:r>
            <w:r w:rsidR="00801F8E" w:rsidRPr="00DB2A7B">
              <w:t>change in scope and applicability</w:t>
            </w:r>
            <w:r w:rsidR="00801F8E">
              <w:t xml:space="preserve"> and further revises </w:t>
            </w:r>
            <w:r w:rsidR="008F5B2E">
              <w:t xml:space="preserve">them </w:t>
            </w:r>
            <w:r w:rsidR="00D409D0">
              <w:t xml:space="preserve">to </w:t>
            </w:r>
            <w:r w:rsidR="00F36C67">
              <w:t>require an institution, when giving written notice of its intent to deny application of the course credit, to also provide the reasons for the proposed denial</w:t>
            </w:r>
            <w:r w:rsidR="00D409D0">
              <w:t xml:space="preserve">. </w:t>
            </w:r>
          </w:p>
          <w:p w14:paraId="0C105FDE" w14:textId="77777777" w:rsidR="00B93719" w:rsidRDefault="00B93719" w:rsidP="006529F1">
            <w:pPr>
              <w:pStyle w:val="Header"/>
              <w:jc w:val="both"/>
            </w:pPr>
          </w:p>
          <w:p w14:paraId="0A480867" w14:textId="226A5691" w:rsidR="0019485F" w:rsidRDefault="00935FE1" w:rsidP="006529F1">
            <w:pPr>
              <w:pStyle w:val="Header"/>
              <w:jc w:val="both"/>
            </w:pPr>
            <w:r>
              <w:t>S.B. 1887, w</w:t>
            </w:r>
            <w:r w:rsidR="008F5B2E">
              <w:t xml:space="preserve">ith respect to the timely resolution of </w:t>
            </w:r>
            <w:r w:rsidR="00B93719" w:rsidRPr="0031418E">
              <w:t xml:space="preserve">transfer </w:t>
            </w:r>
            <w:r w:rsidR="008F5B2E" w:rsidRPr="0031418E">
              <w:t>disputes</w:t>
            </w:r>
            <w:r w:rsidR="008F5B2E">
              <w:t xml:space="preserve">, </w:t>
            </w:r>
            <w:r w:rsidR="00B93719">
              <w:t xml:space="preserve">removes provisions providing </w:t>
            </w:r>
            <w:r w:rsidR="00801F8E">
              <w:t xml:space="preserve">for the </w:t>
            </w:r>
            <w:r w:rsidR="00F36C67">
              <w:t xml:space="preserve">dispute resolution process </w:t>
            </w:r>
            <w:r w:rsidR="00801F8E">
              <w:t xml:space="preserve">to be turned </w:t>
            </w:r>
            <w:r w:rsidR="00F36C67">
              <w:t>over to</w:t>
            </w:r>
            <w:r>
              <w:t xml:space="preserve"> the commissioner of </w:t>
            </w:r>
            <w:r w:rsidR="00AB3698">
              <w:t xml:space="preserve">higher education </w:t>
            </w:r>
            <w:r w:rsidR="00F36C67">
              <w:t xml:space="preserve">if the dispute </w:t>
            </w:r>
            <w:r w:rsidR="00F029AD">
              <w:t>is</w:t>
            </w:r>
            <w:r w:rsidR="00F36C67">
              <w:t xml:space="preserve"> not resolved </w:t>
            </w:r>
            <w:r w:rsidR="00B93719">
              <w:t xml:space="preserve">to the satisfaction of the student or the institution at which the credit was earned </w:t>
            </w:r>
            <w:r w:rsidR="00F36C67">
              <w:t xml:space="preserve">within 45 days after the date the student received notice from </w:t>
            </w:r>
            <w:r w:rsidR="00801F8E">
              <w:t xml:space="preserve">the </w:t>
            </w:r>
            <w:r w:rsidR="00DD4162">
              <w:t xml:space="preserve">receiving </w:t>
            </w:r>
            <w:r w:rsidR="00801F8E" w:rsidRPr="00DB2A7B">
              <w:t>institution</w:t>
            </w:r>
            <w:r w:rsidR="00801F8E">
              <w:t xml:space="preserve"> regarding the </w:t>
            </w:r>
            <w:r w:rsidR="00833DEA">
              <w:t xml:space="preserve">denial of the </w:t>
            </w:r>
            <w:r w:rsidR="00801F8E">
              <w:t xml:space="preserve">credit </w:t>
            </w:r>
            <w:r w:rsidR="00801F8E" w:rsidRPr="0031418E">
              <w:t>transfer and requires</w:t>
            </w:r>
            <w:r w:rsidR="00801F8E">
              <w:t xml:space="preserve"> instead that the </w:t>
            </w:r>
            <w:r w:rsidR="00264184">
              <w:t xml:space="preserve">receiving </w:t>
            </w:r>
            <w:r w:rsidR="00801F8E">
              <w:t>institution resolve the dispute not later than the 45th day after the date on which the student enrolls in the institution</w:t>
            </w:r>
            <w:r w:rsidR="00B93719">
              <w:t>. However, the bill retain</w:t>
            </w:r>
            <w:r w:rsidR="00DD6F39">
              <w:t>s</w:t>
            </w:r>
            <w:r w:rsidR="00B93719">
              <w:t xml:space="preserve"> the requirement for </w:t>
            </w:r>
            <w:r w:rsidR="00B93719" w:rsidRPr="00264184">
              <w:t xml:space="preserve">the </w:t>
            </w:r>
            <w:r w:rsidR="00F029AD" w:rsidRPr="00264184">
              <w:t xml:space="preserve">receiving </w:t>
            </w:r>
            <w:r w:rsidR="00B93719" w:rsidRPr="00264184">
              <w:t>institution</w:t>
            </w:r>
            <w:r w:rsidR="00B93719">
              <w:t xml:space="preserve"> to notify the commissioner of its denial and the reasons for the denial if the dispute </w:t>
            </w:r>
            <w:r w:rsidR="00B93719" w:rsidRPr="00264184">
              <w:t>is not satisfactorily resolved</w:t>
            </w:r>
            <w:r w:rsidR="00DD6F39">
              <w:t xml:space="preserve"> and the requirement for the commissioner or the commissioner's designee to make a final determination on the dispute</w:t>
            </w:r>
            <w:r w:rsidR="00D638E6">
              <w:t xml:space="preserve"> and give written notice of the determination to the involved student and institutions</w:t>
            </w:r>
            <w:r w:rsidR="00B93719">
              <w:t xml:space="preserve">. </w:t>
            </w:r>
            <w:r w:rsidR="00DD6F39">
              <w:t>The bill imposes a deadline for</w:t>
            </w:r>
            <w:r>
              <w:t xml:space="preserve"> the final determination </w:t>
            </w:r>
            <w:r w:rsidR="00DD6F39">
              <w:t>to be made</w:t>
            </w:r>
            <w:r w:rsidR="00D638E6">
              <w:t xml:space="preserve"> and notice of the determination to be given</w:t>
            </w:r>
            <w:r w:rsidR="00DD6F39">
              <w:t>, which is</w:t>
            </w:r>
            <w:r>
              <w:t xml:space="preserve"> </w:t>
            </w:r>
            <w:r w:rsidR="00D638E6">
              <w:t xml:space="preserve">not later than </w:t>
            </w:r>
            <w:r w:rsidRPr="0019485F">
              <w:t>the 20th business day after the date the commissioner</w:t>
            </w:r>
            <w:r>
              <w:t xml:space="preserve"> </w:t>
            </w:r>
            <w:r w:rsidRPr="0019485F">
              <w:t>receives</w:t>
            </w:r>
            <w:r w:rsidR="00DD6F39">
              <w:t xml:space="preserve"> the institution's</w:t>
            </w:r>
            <w:r w:rsidRPr="0019485F">
              <w:t xml:space="preserve"> notice</w:t>
            </w:r>
            <w:r>
              <w:t>. The bill establishes that a determin</w:t>
            </w:r>
            <w:r>
              <w:t xml:space="preserve">ation by the commissioner or </w:t>
            </w:r>
            <w:r w:rsidR="00DD6F39">
              <w:t xml:space="preserve">the commissioner's </w:t>
            </w:r>
            <w:r>
              <w:t>designee is final and may not be appealed</w:t>
            </w:r>
            <w:r w:rsidR="008D48F8">
              <w:t xml:space="preserve"> and requires an institution to apply the applicable course credit toward the </w:t>
            </w:r>
            <w:r w:rsidR="00AC6CA3" w:rsidRPr="00AC6CA3">
              <w:t>institution's core curriculum or field of study curriculum</w:t>
            </w:r>
            <w:r w:rsidR="00AC6CA3">
              <w:t xml:space="preserve"> </w:t>
            </w:r>
            <w:r w:rsidR="008D48F8">
              <w:t>if the commissioner or designee determines that the institution may not deny the application of the course credit</w:t>
            </w:r>
            <w:r>
              <w:t xml:space="preserve">. </w:t>
            </w:r>
            <w:r w:rsidR="00C044D1">
              <w:t xml:space="preserve">The bill requires the THECB to </w:t>
            </w:r>
            <w:r w:rsidR="00C044D1" w:rsidRPr="00C044D1">
              <w:t xml:space="preserve">post on </w:t>
            </w:r>
            <w:r w:rsidR="008D48F8">
              <w:t>its</w:t>
            </w:r>
            <w:r w:rsidR="00C044D1">
              <w:t xml:space="preserve"> </w:t>
            </w:r>
            <w:r w:rsidR="00C044D1" w:rsidRPr="00C044D1">
              <w:t>website a list of each case that is considered</w:t>
            </w:r>
            <w:r w:rsidR="008D48F8">
              <w:t xml:space="preserve"> by the commissioner</w:t>
            </w:r>
            <w:r w:rsidR="00DD6F39">
              <w:t xml:space="preserve"> or the commissioner's designee</w:t>
            </w:r>
            <w:r w:rsidR="00C044D1" w:rsidRPr="00C044D1">
              <w:t>, including the disposition of the case.</w:t>
            </w:r>
          </w:p>
          <w:p w14:paraId="5E4D3819" w14:textId="536DF1D2" w:rsidR="00C044D1" w:rsidRDefault="00C044D1" w:rsidP="006529F1">
            <w:pPr>
              <w:pStyle w:val="Header"/>
              <w:jc w:val="both"/>
            </w:pPr>
          </w:p>
          <w:p w14:paraId="7698301A" w14:textId="0E123C94" w:rsidR="00833DEA" w:rsidRDefault="00935FE1" w:rsidP="006529F1">
            <w:pPr>
              <w:pStyle w:val="Header"/>
              <w:jc w:val="both"/>
            </w:pPr>
            <w:r w:rsidRPr="007D20CA">
              <w:t>S.B. 1887</w:t>
            </w:r>
            <w:r w:rsidR="00AC6CA3">
              <w:t xml:space="preserve"> </w:t>
            </w:r>
            <w:r w:rsidR="00C044D1">
              <w:t xml:space="preserve">changes </w:t>
            </w:r>
            <w:r w:rsidR="000822F4">
              <w:t xml:space="preserve">from March 1 to May 1 </w:t>
            </w:r>
            <w:r w:rsidR="00C044D1">
              <w:t xml:space="preserve">the </w:t>
            </w:r>
            <w:r w:rsidR="00452E95">
              <w:t xml:space="preserve">annual deadline </w:t>
            </w:r>
            <w:r w:rsidR="00C044D1">
              <w:t xml:space="preserve">for </w:t>
            </w:r>
            <w:r>
              <w:t xml:space="preserve">the submission of the following reports to the THECB and the legislature: </w:t>
            </w:r>
          </w:p>
          <w:p w14:paraId="32FD2321" w14:textId="493CF858" w:rsidR="00833DEA" w:rsidRDefault="00935FE1" w:rsidP="006529F1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the report from </w:t>
            </w:r>
            <w:r w:rsidR="00C044D1">
              <w:t xml:space="preserve">each general academic teaching institution </w:t>
            </w:r>
            <w:r>
              <w:t xml:space="preserve">describing any </w:t>
            </w:r>
            <w:r w:rsidRPr="00642FB5">
              <w:t>lower</w:t>
            </w:r>
            <w:r w:rsidR="00BF74DF">
              <w:t>-</w:t>
            </w:r>
            <w:r w:rsidRPr="00642FB5">
              <w:t>div</w:t>
            </w:r>
            <w:r w:rsidRPr="00642FB5">
              <w:t>ision</w:t>
            </w:r>
            <w:r>
              <w:t xml:space="preserve"> courses for which a student who transfers to the institution </w:t>
            </w:r>
            <w:r w:rsidRPr="00642FB5">
              <w:t>is not granted academic credit</w:t>
            </w:r>
            <w:r>
              <w:t xml:space="preserve"> or, if applicable, </w:t>
            </w:r>
            <w:r w:rsidR="00EE30B4">
              <w:t>credit toward the student's major</w:t>
            </w:r>
            <w:r>
              <w:t>;</w:t>
            </w:r>
            <w:r w:rsidR="00452E95">
              <w:t xml:space="preserve"> </w:t>
            </w:r>
            <w:r w:rsidR="00F77166">
              <w:t xml:space="preserve">and </w:t>
            </w:r>
          </w:p>
          <w:p w14:paraId="75659994" w14:textId="16965F8B" w:rsidR="00833DEA" w:rsidRDefault="00935FE1" w:rsidP="006529F1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report from</w:t>
            </w:r>
            <w:r w:rsidR="00F77166">
              <w:t xml:space="preserve"> </w:t>
            </w:r>
            <w:r w:rsidR="00EE30B4">
              <w:t>e</w:t>
            </w:r>
            <w:r w:rsidR="00F77166">
              <w:t>a</w:t>
            </w:r>
            <w:r w:rsidR="00EE30B4">
              <w:t>ch</w:t>
            </w:r>
            <w:r w:rsidR="00D15F0A">
              <w:t xml:space="preserve"> public junior college</w:t>
            </w:r>
            <w:r w:rsidR="00F77166">
              <w:t xml:space="preserve"> on</w:t>
            </w:r>
            <w:r w:rsidR="00452E95">
              <w:t xml:space="preserve"> courses taken </w:t>
            </w:r>
            <w:r w:rsidR="00D15F0A">
              <w:t>by students who transferred to a general academic teaching institution or earned an associate degree at the college</w:t>
            </w:r>
            <w:r w:rsidR="000D41B8">
              <w:t xml:space="preserve"> during the preceding academic year</w:t>
            </w:r>
            <w:r w:rsidR="00C044D1">
              <w:t>.</w:t>
            </w:r>
            <w:r w:rsidR="00C4152E">
              <w:t xml:space="preserve"> </w:t>
            </w:r>
          </w:p>
          <w:p w14:paraId="2A286571" w14:textId="4409E307" w:rsidR="001025D6" w:rsidRDefault="00935FE1" w:rsidP="006529F1">
            <w:pPr>
              <w:pStyle w:val="Header"/>
              <w:jc w:val="both"/>
            </w:pPr>
            <w:r w:rsidRPr="00DD4162">
              <w:t xml:space="preserve">With respect to </w:t>
            </w:r>
            <w:r w:rsidR="00D82149">
              <w:t>a report submitted by</w:t>
            </w:r>
            <w:r w:rsidRPr="00DD4162">
              <w:t xml:space="preserve"> </w:t>
            </w:r>
            <w:r w:rsidR="00DD4162">
              <w:t xml:space="preserve">a </w:t>
            </w:r>
            <w:r w:rsidRPr="00DD4162">
              <w:t>general academic teaching institution</w:t>
            </w:r>
            <w:r w:rsidR="00264184" w:rsidRPr="00DD4162">
              <w:t>, the bill specifies that</w:t>
            </w:r>
            <w:r w:rsidR="00DD4162">
              <w:t xml:space="preserve"> the institution, in indicating</w:t>
            </w:r>
            <w:r w:rsidR="00264184" w:rsidRPr="00DD4162">
              <w:t xml:space="preserve"> the reason </w:t>
            </w:r>
            <w:r w:rsidRPr="00DD4162">
              <w:t>why academic credit was not granted,</w:t>
            </w:r>
            <w:r w:rsidR="00DD4162">
              <w:t xml:space="preserve"> must also indicate</w:t>
            </w:r>
            <w:r w:rsidRPr="00DD4162">
              <w:t xml:space="preserve"> whether </w:t>
            </w:r>
            <w:r w:rsidR="00DD4162">
              <w:t xml:space="preserve">the institution </w:t>
            </w:r>
            <w:r w:rsidRPr="00DD4162">
              <w:t>complied with the dispute resolution process.</w:t>
            </w:r>
            <w:r>
              <w:t xml:space="preserve"> </w:t>
            </w:r>
          </w:p>
          <w:p w14:paraId="03FD05E2" w14:textId="4476BEF7" w:rsidR="00833DEA" w:rsidRDefault="00833DEA" w:rsidP="006529F1">
            <w:pPr>
              <w:pStyle w:val="Header"/>
              <w:jc w:val="both"/>
            </w:pPr>
          </w:p>
          <w:p w14:paraId="76CA966F" w14:textId="42AABDE4" w:rsidR="009C36CD" w:rsidRPr="009C36CD" w:rsidRDefault="00935FE1" w:rsidP="006529F1">
            <w:pPr>
              <w:pStyle w:val="Header"/>
              <w:jc w:val="both"/>
            </w:pPr>
            <w:r w:rsidRPr="007D20CA">
              <w:t>S.B. 1887</w:t>
            </w:r>
            <w:r w:rsidR="00AC6CA3">
              <w:t xml:space="preserve"> </w:t>
            </w:r>
            <w:r w:rsidR="00C4152E">
              <w:t xml:space="preserve">applies beginning with the 2023-2024 academic year. </w:t>
            </w:r>
          </w:p>
          <w:p w14:paraId="54FA0CD2" w14:textId="77777777" w:rsidR="008423E4" w:rsidRPr="00835628" w:rsidRDefault="008423E4" w:rsidP="006529F1">
            <w:pPr>
              <w:rPr>
                <w:b/>
              </w:rPr>
            </w:pPr>
          </w:p>
        </w:tc>
      </w:tr>
      <w:tr w:rsidR="000B2558" w14:paraId="3A7F7CCF" w14:textId="77777777" w:rsidTr="00345119">
        <w:tc>
          <w:tcPr>
            <w:tcW w:w="9576" w:type="dxa"/>
          </w:tcPr>
          <w:p w14:paraId="559DF8A0" w14:textId="77777777" w:rsidR="008423E4" w:rsidRPr="00A8133F" w:rsidRDefault="00935FE1" w:rsidP="006529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57F0E9" w14:textId="77777777" w:rsidR="008423E4" w:rsidRDefault="008423E4" w:rsidP="006529F1"/>
          <w:p w14:paraId="50C1EBDE" w14:textId="72026BEB" w:rsidR="008423E4" w:rsidRPr="003624F2" w:rsidRDefault="00935FE1" w:rsidP="006529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3A827998" w14:textId="77777777" w:rsidR="008423E4" w:rsidRPr="00233FDB" w:rsidRDefault="008423E4" w:rsidP="006529F1">
            <w:pPr>
              <w:rPr>
                <w:b/>
              </w:rPr>
            </w:pPr>
          </w:p>
        </w:tc>
      </w:tr>
      <w:tr w:rsidR="000B2558" w14:paraId="59B1050D" w14:textId="77777777" w:rsidTr="00345119">
        <w:tc>
          <w:tcPr>
            <w:tcW w:w="9576" w:type="dxa"/>
          </w:tcPr>
          <w:p w14:paraId="2FBF51C7" w14:textId="0B1AD02F" w:rsidR="000B6EA6" w:rsidRPr="000B6EA6" w:rsidRDefault="000B6EA6" w:rsidP="006529F1">
            <w:pPr>
              <w:jc w:val="both"/>
            </w:pPr>
          </w:p>
        </w:tc>
      </w:tr>
      <w:tr w:rsidR="000B2558" w14:paraId="4D6752FF" w14:textId="77777777" w:rsidTr="00345119">
        <w:tc>
          <w:tcPr>
            <w:tcW w:w="9576" w:type="dxa"/>
          </w:tcPr>
          <w:p w14:paraId="7A1687DE" w14:textId="77777777" w:rsidR="00AE2EF7" w:rsidRPr="009C1E9A" w:rsidRDefault="00AE2EF7" w:rsidP="006529F1">
            <w:pPr>
              <w:rPr>
                <w:b/>
                <w:u w:val="single"/>
              </w:rPr>
            </w:pPr>
          </w:p>
        </w:tc>
      </w:tr>
      <w:tr w:rsidR="000B2558" w14:paraId="110DAD45" w14:textId="77777777" w:rsidTr="00345119">
        <w:tc>
          <w:tcPr>
            <w:tcW w:w="9576" w:type="dxa"/>
          </w:tcPr>
          <w:p w14:paraId="4F1C7051" w14:textId="77777777" w:rsidR="00AE2EF7" w:rsidRPr="00AE2EF7" w:rsidRDefault="00AE2EF7" w:rsidP="006529F1">
            <w:pPr>
              <w:jc w:val="both"/>
            </w:pPr>
          </w:p>
        </w:tc>
      </w:tr>
    </w:tbl>
    <w:p w14:paraId="47E3DAB4" w14:textId="77777777" w:rsidR="008423E4" w:rsidRPr="00BE0E75" w:rsidRDefault="008423E4" w:rsidP="006529F1">
      <w:pPr>
        <w:jc w:val="both"/>
        <w:rPr>
          <w:rFonts w:ascii="Arial" w:hAnsi="Arial"/>
          <w:sz w:val="16"/>
          <w:szCs w:val="16"/>
        </w:rPr>
      </w:pPr>
    </w:p>
    <w:p w14:paraId="0B4A0C80" w14:textId="77777777" w:rsidR="004108C3" w:rsidRPr="008423E4" w:rsidRDefault="004108C3" w:rsidP="006529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AE90" w14:textId="77777777" w:rsidR="00000000" w:rsidRDefault="00935FE1">
      <w:r>
        <w:separator/>
      </w:r>
    </w:p>
  </w:endnote>
  <w:endnote w:type="continuationSeparator" w:id="0">
    <w:p w14:paraId="20400E8A" w14:textId="77777777" w:rsidR="00000000" w:rsidRDefault="0093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D39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2558" w14:paraId="392B544C" w14:textId="77777777" w:rsidTr="009C1E9A">
      <w:trPr>
        <w:cantSplit/>
      </w:trPr>
      <w:tc>
        <w:tcPr>
          <w:tcW w:w="0" w:type="pct"/>
        </w:tcPr>
        <w:p w14:paraId="781C2E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2371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D8353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7DB3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6E5E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2558" w14:paraId="5A1B00F2" w14:textId="77777777" w:rsidTr="009C1E9A">
      <w:trPr>
        <w:cantSplit/>
      </w:trPr>
      <w:tc>
        <w:tcPr>
          <w:tcW w:w="0" w:type="pct"/>
        </w:tcPr>
        <w:p w14:paraId="4E4DC9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3C7C5B" w14:textId="6BF3975E" w:rsidR="00EC379B" w:rsidRPr="009C1E9A" w:rsidRDefault="00935F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28952-D</w:t>
          </w:r>
        </w:p>
      </w:tc>
      <w:tc>
        <w:tcPr>
          <w:tcW w:w="2453" w:type="pct"/>
        </w:tcPr>
        <w:p w14:paraId="407B6D40" w14:textId="143A7F17" w:rsidR="00EC379B" w:rsidRDefault="00935F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A257C">
            <w:t>23.126.1204</w:t>
          </w:r>
          <w:r>
            <w:fldChar w:fldCharType="end"/>
          </w:r>
        </w:p>
      </w:tc>
    </w:tr>
    <w:tr w:rsidR="000B2558" w14:paraId="55B90D74" w14:textId="77777777" w:rsidTr="009C1E9A">
      <w:trPr>
        <w:cantSplit/>
      </w:trPr>
      <w:tc>
        <w:tcPr>
          <w:tcW w:w="0" w:type="pct"/>
        </w:tcPr>
        <w:p w14:paraId="590035C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1CFD45" w14:textId="2CBD8B0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2D2D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3029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2558" w14:paraId="258AB0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45F56E" w14:textId="77777777" w:rsidR="00EC379B" w:rsidRDefault="00935F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E552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99FDB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C88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BF26" w14:textId="77777777" w:rsidR="00000000" w:rsidRDefault="00935FE1">
      <w:r>
        <w:separator/>
      </w:r>
    </w:p>
  </w:footnote>
  <w:footnote w:type="continuationSeparator" w:id="0">
    <w:p w14:paraId="3FD13A08" w14:textId="77777777" w:rsidR="00000000" w:rsidRDefault="0093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02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88A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A6D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0EA"/>
    <w:multiLevelType w:val="hybridMultilevel"/>
    <w:tmpl w:val="9A20473E"/>
    <w:lvl w:ilvl="0" w:tplc="69AA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7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6E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01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E4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68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41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6E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6549"/>
    <w:multiLevelType w:val="hybridMultilevel"/>
    <w:tmpl w:val="EF2E4F62"/>
    <w:lvl w:ilvl="0" w:tplc="ADE49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2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2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6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8B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01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F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6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8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C44"/>
    <w:multiLevelType w:val="hybridMultilevel"/>
    <w:tmpl w:val="C2F2629C"/>
    <w:lvl w:ilvl="0" w:tplc="E8B03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8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89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F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2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A4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40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4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02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226"/>
    <w:multiLevelType w:val="hybridMultilevel"/>
    <w:tmpl w:val="4A7AAFF0"/>
    <w:lvl w:ilvl="0" w:tplc="46824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41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8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41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2D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E5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8F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C1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402E"/>
    <w:multiLevelType w:val="hybridMultilevel"/>
    <w:tmpl w:val="E86E8928"/>
    <w:lvl w:ilvl="0" w:tplc="F9306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AF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4E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2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E2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2C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8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29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CA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7904"/>
    <w:multiLevelType w:val="hybridMultilevel"/>
    <w:tmpl w:val="A1C0C570"/>
    <w:lvl w:ilvl="0" w:tplc="0720D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E4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05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7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2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A1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84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7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C7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DB"/>
    <w:rsid w:val="00000A70"/>
    <w:rsid w:val="000032B8"/>
    <w:rsid w:val="00003B06"/>
    <w:rsid w:val="000054B9"/>
    <w:rsid w:val="00006B0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D67"/>
    <w:rsid w:val="00043B84"/>
    <w:rsid w:val="000440FC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14B"/>
    <w:rsid w:val="0006335A"/>
    <w:rsid w:val="00064BF2"/>
    <w:rsid w:val="000667BA"/>
    <w:rsid w:val="000676A7"/>
    <w:rsid w:val="00073914"/>
    <w:rsid w:val="00074236"/>
    <w:rsid w:val="000746BD"/>
    <w:rsid w:val="00076D7D"/>
    <w:rsid w:val="00080D95"/>
    <w:rsid w:val="000822F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558"/>
    <w:rsid w:val="000B3E61"/>
    <w:rsid w:val="000B54AF"/>
    <w:rsid w:val="000B6090"/>
    <w:rsid w:val="000B6EA6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1B8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5D6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DE0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4F7"/>
    <w:rsid w:val="00183262"/>
    <w:rsid w:val="0018478F"/>
    <w:rsid w:val="00184B03"/>
    <w:rsid w:val="00185C59"/>
    <w:rsid w:val="00187C1B"/>
    <w:rsid w:val="001908AC"/>
    <w:rsid w:val="00190CFB"/>
    <w:rsid w:val="0019457A"/>
    <w:rsid w:val="0019485F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69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828"/>
    <w:rsid w:val="001F3CB8"/>
    <w:rsid w:val="001F6B91"/>
    <w:rsid w:val="001F703C"/>
    <w:rsid w:val="001F7571"/>
    <w:rsid w:val="00200B9E"/>
    <w:rsid w:val="00200BF5"/>
    <w:rsid w:val="002010D1"/>
    <w:rsid w:val="00201338"/>
    <w:rsid w:val="0020775D"/>
    <w:rsid w:val="00210265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C78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18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229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B21"/>
    <w:rsid w:val="00313DFE"/>
    <w:rsid w:val="0031418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7E7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E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8B2"/>
    <w:rsid w:val="004101E4"/>
    <w:rsid w:val="00410661"/>
    <w:rsid w:val="004108C3"/>
    <w:rsid w:val="00410A4D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C21"/>
    <w:rsid w:val="004350F3"/>
    <w:rsid w:val="00436980"/>
    <w:rsid w:val="00441016"/>
    <w:rsid w:val="00441F2F"/>
    <w:rsid w:val="0044228B"/>
    <w:rsid w:val="00445444"/>
    <w:rsid w:val="00447018"/>
    <w:rsid w:val="00450561"/>
    <w:rsid w:val="00450A40"/>
    <w:rsid w:val="00451D7C"/>
    <w:rsid w:val="00452E95"/>
    <w:rsid w:val="00452FC3"/>
    <w:rsid w:val="00454715"/>
    <w:rsid w:val="00455936"/>
    <w:rsid w:val="00455ACE"/>
    <w:rsid w:val="00461B69"/>
    <w:rsid w:val="00462B3D"/>
    <w:rsid w:val="00474927"/>
    <w:rsid w:val="00475296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FD2"/>
    <w:rsid w:val="004B138F"/>
    <w:rsid w:val="004B412A"/>
    <w:rsid w:val="004B576C"/>
    <w:rsid w:val="004B772A"/>
    <w:rsid w:val="004C1C9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FDB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07C"/>
    <w:rsid w:val="00555034"/>
    <w:rsid w:val="0055585D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83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EC9"/>
    <w:rsid w:val="00617411"/>
    <w:rsid w:val="006249CB"/>
    <w:rsid w:val="00625DB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FB5"/>
    <w:rsid w:val="00645750"/>
    <w:rsid w:val="00650692"/>
    <w:rsid w:val="006508D3"/>
    <w:rsid w:val="00650AFA"/>
    <w:rsid w:val="006529F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64A"/>
    <w:rsid w:val="006A175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1BD"/>
    <w:rsid w:val="006B7A2E"/>
    <w:rsid w:val="006C29A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528"/>
    <w:rsid w:val="006F365D"/>
    <w:rsid w:val="006F4BB0"/>
    <w:rsid w:val="006F628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2E86"/>
    <w:rsid w:val="00717739"/>
    <w:rsid w:val="00717DE4"/>
    <w:rsid w:val="00721724"/>
    <w:rsid w:val="00722EC5"/>
    <w:rsid w:val="00723326"/>
    <w:rsid w:val="00724252"/>
    <w:rsid w:val="00725E9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111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45D"/>
    <w:rsid w:val="007A0989"/>
    <w:rsid w:val="007A331F"/>
    <w:rsid w:val="007A3844"/>
    <w:rsid w:val="007A4381"/>
    <w:rsid w:val="007A5466"/>
    <w:rsid w:val="007A5719"/>
    <w:rsid w:val="007A7EC1"/>
    <w:rsid w:val="007B4FCA"/>
    <w:rsid w:val="007B7B85"/>
    <w:rsid w:val="007C462E"/>
    <w:rsid w:val="007C496B"/>
    <w:rsid w:val="007C6803"/>
    <w:rsid w:val="007D20CA"/>
    <w:rsid w:val="007D2892"/>
    <w:rsid w:val="007D2DCC"/>
    <w:rsid w:val="007D47E1"/>
    <w:rsid w:val="007D7FCB"/>
    <w:rsid w:val="007E33B6"/>
    <w:rsid w:val="007E3C41"/>
    <w:rsid w:val="007E59E8"/>
    <w:rsid w:val="007F1BCB"/>
    <w:rsid w:val="007F3861"/>
    <w:rsid w:val="007F4162"/>
    <w:rsid w:val="007F5441"/>
    <w:rsid w:val="007F7668"/>
    <w:rsid w:val="00800C63"/>
    <w:rsid w:val="00801F8E"/>
    <w:rsid w:val="00802243"/>
    <w:rsid w:val="008023D4"/>
    <w:rsid w:val="00804124"/>
    <w:rsid w:val="00805402"/>
    <w:rsid w:val="0080765F"/>
    <w:rsid w:val="008109EB"/>
    <w:rsid w:val="00812BE3"/>
    <w:rsid w:val="008143D6"/>
    <w:rsid w:val="00814516"/>
    <w:rsid w:val="00815C9D"/>
    <w:rsid w:val="008170E2"/>
    <w:rsid w:val="00823E4C"/>
    <w:rsid w:val="00827749"/>
    <w:rsid w:val="00827B7E"/>
    <w:rsid w:val="00830EEB"/>
    <w:rsid w:val="00833DEA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576"/>
    <w:rsid w:val="00890789"/>
    <w:rsid w:val="00890B59"/>
    <w:rsid w:val="008930D7"/>
    <w:rsid w:val="008947A7"/>
    <w:rsid w:val="00897E80"/>
    <w:rsid w:val="008A04FA"/>
    <w:rsid w:val="008A257C"/>
    <w:rsid w:val="008A3188"/>
    <w:rsid w:val="008A3EF7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970"/>
    <w:rsid w:val="008D27A5"/>
    <w:rsid w:val="008D2AAB"/>
    <w:rsid w:val="008D309C"/>
    <w:rsid w:val="008D48F8"/>
    <w:rsid w:val="008D58F9"/>
    <w:rsid w:val="008D7427"/>
    <w:rsid w:val="008E3338"/>
    <w:rsid w:val="008E47BE"/>
    <w:rsid w:val="008F09DF"/>
    <w:rsid w:val="008F3053"/>
    <w:rsid w:val="008F3136"/>
    <w:rsid w:val="008F40DF"/>
    <w:rsid w:val="008F5B2E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FE1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909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6D0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053"/>
    <w:rsid w:val="00A26A8A"/>
    <w:rsid w:val="00A27255"/>
    <w:rsid w:val="00A3203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305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663"/>
    <w:rsid w:val="00A93934"/>
    <w:rsid w:val="00A93DEB"/>
    <w:rsid w:val="00A95D51"/>
    <w:rsid w:val="00AA18AE"/>
    <w:rsid w:val="00AA228B"/>
    <w:rsid w:val="00AA597A"/>
    <w:rsid w:val="00AA66AD"/>
    <w:rsid w:val="00AA67A3"/>
    <w:rsid w:val="00AA7E52"/>
    <w:rsid w:val="00AB0636"/>
    <w:rsid w:val="00AB1655"/>
    <w:rsid w:val="00AB1873"/>
    <w:rsid w:val="00AB2C05"/>
    <w:rsid w:val="00AB3536"/>
    <w:rsid w:val="00AB3698"/>
    <w:rsid w:val="00AB474B"/>
    <w:rsid w:val="00AB5CCC"/>
    <w:rsid w:val="00AB74E2"/>
    <w:rsid w:val="00AC047E"/>
    <w:rsid w:val="00AC0C77"/>
    <w:rsid w:val="00AC2E9A"/>
    <w:rsid w:val="00AC5AAB"/>
    <w:rsid w:val="00AC5AEC"/>
    <w:rsid w:val="00AC5F28"/>
    <w:rsid w:val="00AC6900"/>
    <w:rsid w:val="00AC6CA3"/>
    <w:rsid w:val="00AD2954"/>
    <w:rsid w:val="00AD304B"/>
    <w:rsid w:val="00AD4497"/>
    <w:rsid w:val="00AD7780"/>
    <w:rsid w:val="00AE2263"/>
    <w:rsid w:val="00AE248E"/>
    <w:rsid w:val="00AE2D12"/>
    <w:rsid w:val="00AE2EF7"/>
    <w:rsid w:val="00AE2F06"/>
    <w:rsid w:val="00AE4F1C"/>
    <w:rsid w:val="00AF1433"/>
    <w:rsid w:val="00AF1FD3"/>
    <w:rsid w:val="00AF48B4"/>
    <w:rsid w:val="00AF4923"/>
    <w:rsid w:val="00AF7C74"/>
    <w:rsid w:val="00B000AF"/>
    <w:rsid w:val="00B04344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18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945"/>
    <w:rsid w:val="00B6104E"/>
    <w:rsid w:val="00B610C7"/>
    <w:rsid w:val="00B62106"/>
    <w:rsid w:val="00B626A8"/>
    <w:rsid w:val="00B65695"/>
    <w:rsid w:val="00B66526"/>
    <w:rsid w:val="00B665A3"/>
    <w:rsid w:val="00B666F5"/>
    <w:rsid w:val="00B73BB4"/>
    <w:rsid w:val="00B80532"/>
    <w:rsid w:val="00B82039"/>
    <w:rsid w:val="00B82454"/>
    <w:rsid w:val="00B85B54"/>
    <w:rsid w:val="00B90097"/>
    <w:rsid w:val="00B90999"/>
    <w:rsid w:val="00B91AD7"/>
    <w:rsid w:val="00B92D23"/>
    <w:rsid w:val="00B93719"/>
    <w:rsid w:val="00B95BC8"/>
    <w:rsid w:val="00B96E87"/>
    <w:rsid w:val="00BA146A"/>
    <w:rsid w:val="00BA32EE"/>
    <w:rsid w:val="00BB5B36"/>
    <w:rsid w:val="00BC027B"/>
    <w:rsid w:val="00BC086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020"/>
    <w:rsid w:val="00BE3634"/>
    <w:rsid w:val="00BE3E30"/>
    <w:rsid w:val="00BE5274"/>
    <w:rsid w:val="00BE71CD"/>
    <w:rsid w:val="00BE7748"/>
    <w:rsid w:val="00BE79C1"/>
    <w:rsid w:val="00BE7BDA"/>
    <w:rsid w:val="00BF0548"/>
    <w:rsid w:val="00BF4949"/>
    <w:rsid w:val="00BF4D7C"/>
    <w:rsid w:val="00BF5085"/>
    <w:rsid w:val="00BF6E89"/>
    <w:rsid w:val="00BF74DF"/>
    <w:rsid w:val="00C013F4"/>
    <w:rsid w:val="00C040AB"/>
    <w:rsid w:val="00C044D1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D0D"/>
    <w:rsid w:val="00C23956"/>
    <w:rsid w:val="00C248E6"/>
    <w:rsid w:val="00C2766F"/>
    <w:rsid w:val="00C31EFF"/>
    <w:rsid w:val="00C3223B"/>
    <w:rsid w:val="00C333C6"/>
    <w:rsid w:val="00C35CC5"/>
    <w:rsid w:val="00C361C5"/>
    <w:rsid w:val="00C377D1"/>
    <w:rsid w:val="00C37BDA"/>
    <w:rsid w:val="00C37C84"/>
    <w:rsid w:val="00C4152E"/>
    <w:rsid w:val="00C42B41"/>
    <w:rsid w:val="00C46166"/>
    <w:rsid w:val="00C4710D"/>
    <w:rsid w:val="00C50CAD"/>
    <w:rsid w:val="00C53A8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F43"/>
    <w:rsid w:val="00CA2182"/>
    <w:rsid w:val="00CA2186"/>
    <w:rsid w:val="00CA26EF"/>
    <w:rsid w:val="00CA3608"/>
    <w:rsid w:val="00CA4CA0"/>
    <w:rsid w:val="00CA5E5E"/>
    <w:rsid w:val="00CA5FCE"/>
    <w:rsid w:val="00CA7D7B"/>
    <w:rsid w:val="00CB0131"/>
    <w:rsid w:val="00CB0AE4"/>
    <w:rsid w:val="00CB0C21"/>
    <w:rsid w:val="00CB0D1A"/>
    <w:rsid w:val="00CB3627"/>
    <w:rsid w:val="00CB4B4B"/>
    <w:rsid w:val="00CB4B73"/>
    <w:rsid w:val="00CB580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3FA"/>
    <w:rsid w:val="00D15F0A"/>
    <w:rsid w:val="00D22160"/>
    <w:rsid w:val="00D22172"/>
    <w:rsid w:val="00D2301B"/>
    <w:rsid w:val="00D239EE"/>
    <w:rsid w:val="00D30534"/>
    <w:rsid w:val="00D35728"/>
    <w:rsid w:val="00D359A7"/>
    <w:rsid w:val="00D37BCF"/>
    <w:rsid w:val="00D409D0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8E6"/>
    <w:rsid w:val="00D63B53"/>
    <w:rsid w:val="00D64B88"/>
    <w:rsid w:val="00D64DC5"/>
    <w:rsid w:val="00D66BA6"/>
    <w:rsid w:val="00D700B1"/>
    <w:rsid w:val="00D72D53"/>
    <w:rsid w:val="00D730FA"/>
    <w:rsid w:val="00D76631"/>
    <w:rsid w:val="00D768B7"/>
    <w:rsid w:val="00D77492"/>
    <w:rsid w:val="00D811E8"/>
    <w:rsid w:val="00D81A44"/>
    <w:rsid w:val="00D82149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A7B"/>
    <w:rsid w:val="00DB311F"/>
    <w:rsid w:val="00DB53C6"/>
    <w:rsid w:val="00DB59E3"/>
    <w:rsid w:val="00DB6CB6"/>
    <w:rsid w:val="00DB758F"/>
    <w:rsid w:val="00DC1F1B"/>
    <w:rsid w:val="00DC20E2"/>
    <w:rsid w:val="00DC3D8F"/>
    <w:rsid w:val="00DC42E8"/>
    <w:rsid w:val="00DC6DBB"/>
    <w:rsid w:val="00DC7761"/>
    <w:rsid w:val="00DD0022"/>
    <w:rsid w:val="00DD073C"/>
    <w:rsid w:val="00DD128C"/>
    <w:rsid w:val="00DD1B8F"/>
    <w:rsid w:val="00DD4162"/>
    <w:rsid w:val="00DD5BCC"/>
    <w:rsid w:val="00DD6F39"/>
    <w:rsid w:val="00DD7509"/>
    <w:rsid w:val="00DD79C7"/>
    <w:rsid w:val="00DD7D6E"/>
    <w:rsid w:val="00DE34B2"/>
    <w:rsid w:val="00DE49DE"/>
    <w:rsid w:val="00DE618B"/>
    <w:rsid w:val="00DE6EC2"/>
    <w:rsid w:val="00DF0699"/>
    <w:rsid w:val="00DF0834"/>
    <w:rsid w:val="00DF0873"/>
    <w:rsid w:val="00DF2707"/>
    <w:rsid w:val="00DF407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10B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7E3"/>
    <w:rsid w:val="00E8272C"/>
    <w:rsid w:val="00E827C7"/>
    <w:rsid w:val="00E85DBD"/>
    <w:rsid w:val="00E87A99"/>
    <w:rsid w:val="00E90702"/>
    <w:rsid w:val="00E9241E"/>
    <w:rsid w:val="00E927CA"/>
    <w:rsid w:val="00E93DEF"/>
    <w:rsid w:val="00E947B1"/>
    <w:rsid w:val="00E96852"/>
    <w:rsid w:val="00EA16AC"/>
    <w:rsid w:val="00EA2EBA"/>
    <w:rsid w:val="00EA385A"/>
    <w:rsid w:val="00EA3931"/>
    <w:rsid w:val="00EA658E"/>
    <w:rsid w:val="00EA758A"/>
    <w:rsid w:val="00EA7A88"/>
    <w:rsid w:val="00EB27F2"/>
    <w:rsid w:val="00EB3928"/>
    <w:rsid w:val="00EB5373"/>
    <w:rsid w:val="00EB5F73"/>
    <w:rsid w:val="00EC02A2"/>
    <w:rsid w:val="00EC101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0B4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9AD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C67"/>
    <w:rsid w:val="00F36FE0"/>
    <w:rsid w:val="00F37EA8"/>
    <w:rsid w:val="00F40B14"/>
    <w:rsid w:val="00F41186"/>
    <w:rsid w:val="00F41EEF"/>
    <w:rsid w:val="00F41FAC"/>
    <w:rsid w:val="00F420C6"/>
    <w:rsid w:val="00F423D3"/>
    <w:rsid w:val="00F42608"/>
    <w:rsid w:val="00F44349"/>
    <w:rsid w:val="00F4569E"/>
    <w:rsid w:val="00F45AFC"/>
    <w:rsid w:val="00F462F4"/>
    <w:rsid w:val="00F50130"/>
    <w:rsid w:val="00F512D9"/>
    <w:rsid w:val="00F51A7D"/>
    <w:rsid w:val="00F52402"/>
    <w:rsid w:val="00F53E6B"/>
    <w:rsid w:val="00F5605D"/>
    <w:rsid w:val="00F6514B"/>
    <w:rsid w:val="00F6533E"/>
    <w:rsid w:val="00F6587F"/>
    <w:rsid w:val="00F6618F"/>
    <w:rsid w:val="00F66E75"/>
    <w:rsid w:val="00F67981"/>
    <w:rsid w:val="00F706CA"/>
    <w:rsid w:val="00F70F8D"/>
    <w:rsid w:val="00F71C5A"/>
    <w:rsid w:val="00F733A4"/>
    <w:rsid w:val="00F77166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61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7E9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15A57B-8695-4D7D-BC08-FDC3E6F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75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7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75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571"/>
    <w:rPr>
      <w:b/>
      <w:bCs/>
    </w:rPr>
  </w:style>
  <w:style w:type="paragraph" w:styleId="Revision">
    <w:name w:val="Revision"/>
    <w:hidden/>
    <w:uiPriority w:val="99"/>
    <w:semiHidden/>
    <w:rsid w:val="00F426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7419</Characters>
  <Application>Microsoft Office Word</Application>
  <DocSecurity>4</DocSecurity>
  <Lines>136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SB01887 (Committee Report (Unamended))</vt:lpstr>
    </vt:vector>
  </TitlesOfParts>
  <Company>State of Texas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28952</dc:subject>
  <dc:creator>State of Texas</dc:creator>
  <dc:description>SB 1887 by West-(H)Higher Education</dc:description>
  <cp:lastModifiedBy>Alan Gonzalez Otero</cp:lastModifiedBy>
  <cp:revision>2</cp:revision>
  <cp:lastPrinted>2003-11-26T17:21:00Z</cp:lastPrinted>
  <dcterms:created xsi:type="dcterms:W3CDTF">2023-05-07T21:16:00Z</dcterms:created>
  <dcterms:modified xsi:type="dcterms:W3CDTF">2023-05-07T21:16:00Z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23.126.1204</vt:lpwstr>
  </property>
</Properties>
</file>