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D310E" w14:paraId="6EEACF71" w14:textId="77777777" w:rsidTr="00345119">
        <w:tc>
          <w:tcPr>
            <w:tcW w:w="9576" w:type="dxa"/>
            <w:noWrap/>
          </w:tcPr>
          <w:p w14:paraId="4DDE9444" w14:textId="77777777" w:rsidR="008423E4" w:rsidRPr="0022177D" w:rsidRDefault="00CD4256" w:rsidP="00E876E3">
            <w:pPr>
              <w:pStyle w:val="Heading1"/>
            </w:pPr>
            <w:r w:rsidRPr="00631897">
              <w:t>BILL ANALYSIS</w:t>
            </w:r>
          </w:p>
        </w:tc>
      </w:tr>
    </w:tbl>
    <w:p w14:paraId="41250901" w14:textId="77777777" w:rsidR="008423E4" w:rsidRPr="0022177D" w:rsidRDefault="008423E4" w:rsidP="00E876E3">
      <w:pPr>
        <w:jc w:val="center"/>
      </w:pPr>
    </w:p>
    <w:p w14:paraId="44D73505" w14:textId="77777777" w:rsidR="008423E4" w:rsidRPr="00B31F0E" w:rsidRDefault="008423E4" w:rsidP="00E876E3"/>
    <w:p w14:paraId="0F19C980" w14:textId="77777777" w:rsidR="008423E4" w:rsidRPr="00742794" w:rsidRDefault="008423E4" w:rsidP="00E876E3">
      <w:pPr>
        <w:tabs>
          <w:tab w:val="right" w:pos="9360"/>
        </w:tabs>
      </w:pPr>
    </w:p>
    <w:tbl>
      <w:tblPr>
        <w:tblW w:w="0" w:type="auto"/>
        <w:tblLayout w:type="fixed"/>
        <w:tblLook w:val="01E0" w:firstRow="1" w:lastRow="1" w:firstColumn="1" w:lastColumn="1" w:noHBand="0" w:noVBand="0"/>
      </w:tblPr>
      <w:tblGrid>
        <w:gridCol w:w="9576"/>
      </w:tblGrid>
      <w:tr w:rsidR="005D310E" w14:paraId="0DEA89D2" w14:textId="77777777" w:rsidTr="00345119">
        <w:tc>
          <w:tcPr>
            <w:tcW w:w="9576" w:type="dxa"/>
          </w:tcPr>
          <w:p w14:paraId="6B53EE51" w14:textId="021487A5" w:rsidR="008423E4" w:rsidRPr="00861995" w:rsidRDefault="00CD4256" w:rsidP="00E876E3">
            <w:pPr>
              <w:jc w:val="right"/>
            </w:pPr>
            <w:r>
              <w:t>C.S.S.B. 1929</w:t>
            </w:r>
          </w:p>
        </w:tc>
      </w:tr>
      <w:tr w:rsidR="005D310E" w14:paraId="5688C25A" w14:textId="77777777" w:rsidTr="00345119">
        <w:tc>
          <w:tcPr>
            <w:tcW w:w="9576" w:type="dxa"/>
          </w:tcPr>
          <w:p w14:paraId="79B60272" w14:textId="5F66FDFF" w:rsidR="008423E4" w:rsidRPr="00861995" w:rsidRDefault="00CD4256" w:rsidP="00E876E3">
            <w:pPr>
              <w:jc w:val="right"/>
            </w:pPr>
            <w:r>
              <w:t xml:space="preserve">By: </w:t>
            </w:r>
            <w:r w:rsidR="006D32F5">
              <w:t>Johnson</w:t>
            </w:r>
          </w:p>
        </w:tc>
      </w:tr>
      <w:tr w:rsidR="005D310E" w14:paraId="06BFBF07" w14:textId="77777777" w:rsidTr="00345119">
        <w:tc>
          <w:tcPr>
            <w:tcW w:w="9576" w:type="dxa"/>
          </w:tcPr>
          <w:p w14:paraId="5794E91C" w14:textId="1ADDFD6C" w:rsidR="008423E4" w:rsidRPr="00861995" w:rsidRDefault="00CD4256" w:rsidP="00E876E3">
            <w:pPr>
              <w:jc w:val="right"/>
            </w:pPr>
            <w:r>
              <w:t>State Affairs</w:t>
            </w:r>
          </w:p>
        </w:tc>
      </w:tr>
      <w:tr w:rsidR="005D310E" w14:paraId="55B218C8" w14:textId="77777777" w:rsidTr="00345119">
        <w:tc>
          <w:tcPr>
            <w:tcW w:w="9576" w:type="dxa"/>
          </w:tcPr>
          <w:p w14:paraId="05101995" w14:textId="1C504C9C" w:rsidR="008423E4" w:rsidRDefault="00CD4256" w:rsidP="00E876E3">
            <w:pPr>
              <w:jc w:val="right"/>
            </w:pPr>
            <w:r>
              <w:t>Committee Report (Substituted)</w:t>
            </w:r>
          </w:p>
        </w:tc>
      </w:tr>
    </w:tbl>
    <w:p w14:paraId="2C6D9E94" w14:textId="77777777" w:rsidR="008423E4" w:rsidRDefault="008423E4" w:rsidP="00E876E3">
      <w:pPr>
        <w:tabs>
          <w:tab w:val="right" w:pos="9360"/>
        </w:tabs>
      </w:pPr>
    </w:p>
    <w:p w14:paraId="04695927" w14:textId="77777777" w:rsidR="008423E4" w:rsidRDefault="008423E4" w:rsidP="00E876E3"/>
    <w:p w14:paraId="588DE849" w14:textId="77777777" w:rsidR="008423E4" w:rsidRDefault="008423E4" w:rsidP="00E876E3"/>
    <w:tbl>
      <w:tblPr>
        <w:tblW w:w="0" w:type="auto"/>
        <w:tblCellMar>
          <w:left w:w="115" w:type="dxa"/>
          <w:right w:w="115" w:type="dxa"/>
        </w:tblCellMar>
        <w:tblLook w:val="01E0" w:firstRow="1" w:lastRow="1" w:firstColumn="1" w:lastColumn="1" w:noHBand="0" w:noVBand="0"/>
      </w:tblPr>
      <w:tblGrid>
        <w:gridCol w:w="9360"/>
      </w:tblGrid>
      <w:tr w:rsidR="005D310E" w14:paraId="7792C236" w14:textId="77777777" w:rsidTr="00345119">
        <w:tc>
          <w:tcPr>
            <w:tcW w:w="9576" w:type="dxa"/>
          </w:tcPr>
          <w:p w14:paraId="57151E6C" w14:textId="77777777" w:rsidR="008423E4" w:rsidRPr="00A8133F" w:rsidRDefault="00CD4256" w:rsidP="00E876E3">
            <w:pPr>
              <w:rPr>
                <w:b/>
              </w:rPr>
            </w:pPr>
            <w:r w:rsidRPr="009C1E9A">
              <w:rPr>
                <w:b/>
                <w:u w:val="single"/>
              </w:rPr>
              <w:t>BACKGROUND AND PURPOSE</w:t>
            </w:r>
            <w:r>
              <w:rPr>
                <w:b/>
              </w:rPr>
              <w:t xml:space="preserve"> </w:t>
            </w:r>
          </w:p>
          <w:p w14:paraId="603CF045" w14:textId="77777777" w:rsidR="008423E4" w:rsidRDefault="008423E4" w:rsidP="00E876E3"/>
          <w:p w14:paraId="1CDA7B82" w14:textId="461DE7F9" w:rsidR="008423E4" w:rsidRDefault="00CD4256" w:rsidP="00E876E3">
            <w:pPr>
              <w:pStyle w:val="Header"/>
              <w:tabs>
                <w:tab w:val="clear" w:pos="4320"/>
                <w:tab w:val="clear" w:pos="8640"/>
              </w:tabs>
              <w:jc w:val="both"/>
            </w:pPr>
            <w:r>
              <w:t>C</w:t>
            </w:r>
            <w:r w:rsidR="001A7ACB" w:rsidRPr="001A7ACB">
              <w:t>omputing facilities</w:t>
            </w:r>
            <w:r w:rsidR="001A7ACB">
              <w:t xml:space="preserve"> </w:t>
            </w:r>
            <w:r>
              <w:t xml:space="preserve">used to mine virtual currencies </w:t>
            </w:r>
            <w:r w:rsidR="001A7ACB">
              <w:t>pose a specific challenge to the electric grid</w:t>
            </w:r>
            <w:r w:rsidR="001A7ACB" w:rsidRPr="001A7ACB">
              <w:t xml:space="preserve"> because they can connect to the grid quickly, use large amounts of electricity, and ramp up and down more quickly than traditional industrial loads.</w:t>
            </w:r>
            <w:r w:rsidR="001A7ACB">
              <w:t xml:space="preserve"> To ensure ERCOT can properly manage the electric grid, additional information on the existence of these facilities is needed. Accordingly, C.S.S.B. 1929 seeks to provide for the registration of virtual currency mining facilities in the ERCOT power region that demand a large load of interruptible power.</w:t>
            </w:r>
          </w:p>
          <w:p w14:paraId="04C0E80C" w14:textId="77777777" w:rsidR="008423E4" w:rsidRPr="00E26B13" w:rsidRDefault="008423E4" w:rsidP="00E876E3">
            <w:pPr>
              <w:rPr>
                <w:b/>
              </w:rPr>
            </w:pPr>
          </w:p>
        </w:tc>
      </w:tr>
      <w:tr w:rsidR="005D310E" w14:paraId="51CAD457" w14:textId="77777777" w:rsidTr="00345119">
        <w:tc>
          <w:tcPr>
            <w:tcW w:w="9576" w:type="dxa"/>
          </w:tcPr>
          <w:p w14:paraId="5431981D" w14:textId="77777777" w:rsidR="0017725B" w:rsidRDefault="00CD4256" w:rsidP="00E876E3">
            <w:pPr>
              <w:rPr>
                <w:b/>
                <w:u w:val="single"/>
              </w:rPr>
            </w:pPr>
            <w:r>
              <w:rPr>
                <w:b/>
                <w:u w:val="single"/>
              </w:rPr>
              <w:t>CRIMINAL JUSTICE IMPACT</w:t>
            </w:r>
          </w:p>
          <w:p w14:paraId="0DA56C2D" w14:textId="77777777" w:rsidR="0017725B" w:rsidRDefault="0017725B" w:rsidP="00E876E3">
            <w:pPr>
              <w:rPr>
                <w:b/>
                <w:u w:val="single"/>
              </w:rPr>
            </w:pPr>
          </w:p>
          <w:p w14:paraId="16A7B551" w14:textId="3AE39ECC" w:rsidR="007A4AA8" w:rsidRPr="007A4AA8" w:rsidRDefault="00CD4256" w:rsidP="00E876E3">
            <w:pPr>
              <w:jc w:val="both"/>
            </w:pPr>
            <w:r>
              <w:t>It is the committee's opinion t</w:t>
            </w:r>
            <w:r>
              <w:t>hat this bill does not expressly create a criminal offense, increase the punishment for an existing criminal offense or category of offenses, or change the eligibility of a person for community supervision, parole, or mandatory supervision.</w:t>
            </w:r>
          </w:p>
          <w:p w14:paraId="4077DFA0" w14:textId="77777777" w:rsidR="0017725B" w:rsidRPr="0017725B" w:rsidRDefault="0017725B" w:rsidP="00E876E3">
            <w:pPr>
              <w:rPr>
                <w:b/>
                <w:u w:val="single"/>
              </w:rPr>
            </w:pPr>
          </w:p>
        </w:tc>
      </w:tr>
      <w:tr w:rsidR="005D310E" w14:paraId="5578E999" w14:textId="77777777" w:rsidTr="00345119">
        <w:tc>
          <w:tcPr>
            <w:tcW w:w="9576" w:type="dxa"/>
          </w:tcPr>
          <w:p w14:paraId="6D40F7ED" w14:textId="77777777" w:rsidR="008423E4" w:rsidRPr="00A8133F" w:rsidRDefault="00CD4256" w:rsidP="00E876E3">
            <w:pPr>
              <w:rPr>
                <w:b/>
              </w:rPr>
            </w:pPr>
            <w:r w:rsidRPr="009C1E9A">
              <w:rPr>
                <w:b/>
                <w:u w:val="single"/>
              </w:rPr>
              <w:t>RULEMAKING AU</w:t>
            </w:r>
            <w:r w:rsidRPr="009C1E9A">
              <w:rPr>
                <w:b/>
                <w:u w:val="single"/>
              </w:rPr>
              <w:t>THORITY</w:t>
            </w:r>
            <w:r>
              <w:rPr>
                <w:b/>
              </w:rPr>
              <w:t xml:space="preserve"> </w:t>
            </w:r>
          </w:p>
          <w:p w14:paraId="707435A2" w14:textId="77777777" w:rsidR="008423E4" w:rsidRDefault="008423E4" w:rsidP="00E876E3"/>
          <w:p w14:paraId="229E1778" w14:textId="0B53D6B4" w:rsidR="00F97873" w:rsidRDefault="00CD4256" w:rsidP="00E876E3">
            <w:pPr>
              <w:pStyle w:val="Header"/>
              <w:tabs>
                <w:tab w:val="clear" w:pos="4320"/>
                <w:tab w:val="clear" w:pos="8640"/>
              </w:tabs>
              <w:jc w:val="both"/>
            </w:pPr>
            <w:r>
              <w:t xml:space="preserve">It is the committee's opinion that rulemaking authority is expressly granted to the </w:t>
            </w:r>
            <w:r w:rsidRPr="00F97873">
              <w:t>Public Utility Commission of Texas</w:t>
            </w:r>
            <w:r>
              <w:t xml:space="preserve"> in SECTION 1 of this bill.</w:t>
            </w:r>
          </w:p>
          <w:p w14:paraId="1DD37D41" w14:textId="77777777" w:rsidR="008423E4" w:rsidRPr="00E21FDC" w:rsidRDefault="008423E4" w:rsidP="00E876E3">
            <w:pPr>
              <w:rPr>
                <w:b/>
              </w:rPr>
            </w:pPr>
          </w:p>
        </w:tc>
      </w:tr>
      <w:tr w:rsidR="005D310E" w14:paraId="5BBBB9E0" w14:textId="77777777" w:rsidTr="00345119">
        <w:tc>
          <w:tcPr>
            <w:tcW w:w="9576" w:type="dxa"/>
          </w:tcPr>
          <w:p w14:paraId="1AA67B42" w14:textId="77777777" w:rsidR="008423E4" w:rsidRPr="00A8133F" w:rsidRDefault="00CD4256" w:rsidP="00E876E3">
            <w:pPr>
              <w:rPr>
                <w:b/>
              </w:rPr>
            </w:pPr>
            <w:r w:rsidRPr="009C1E9A">
              <w:rPr>
                <w:b/>
                <w:u w:val="single"/>
              </w:rPr>
              <w:t>ANALYSIS</w:t>
            </w:r>
            <w:r>
              <w:rPr>
                <w:b/>
              </w:rPr>
              <w:t xml:space="preserve"> </w:t>
            </w:r>
          </w:p>
          <w:p w14:paraId="7FD3634C" w14:textId="77777777" w:rsidR="008423E4" w:rsidRDefault="008423E4" w:rsidP="00E876E3"/>
          <w:p w14:paraId="7D92EB88" w14:textId="65CFB618" w:rsidR="0060171B" w:rsidRDefault="00CD4256" w:rsidP="00E876E3">
            <w:pPr>
              <w:pStyle w:val="Header"/>
              <w:jc w:val="both"/>
            </w:pPr>
            <w:r>
              <w:t>C.S.</w:t>
            </w:r>
            <w:r w:rsidR="00CF0A74">
              <w:t>S</w:t>
            </w:r>
            <w:r w:rsidR="00E97D5D">
              <w:t xml:space="preserve">.B. </w:t>
            </w:r>
            <w:r w:rsidR="00A17B38">
              <w:t>1929</w:t>
            </w:r>
            <w:r w:rsidR="00E97D5D">
              <w:t xml:space="preserve"> amends the Utilities Code to </w:t>
            </w:r>
            <w:r w:rsidRPr="00211CFC">
              <w:t>require the Public Utility Commission of Texas (PUC) by rule to require a person operating a virtual currency mining facility who enters into an agreement for retail electric service in the ERCOT power region to register the facility receiving service as a</w:t>
            </w:r>
            <w:r w:rsidRPr="00211CFC">
              <w:t xml:space="preserve"> large flexible load if the facility load is interruptible and the person anticipates that the facility will require a total load of more than 75 megawatts before the second anniversary of the date the agreement begins.</w:t>
            </w:r>
            <w:r>
              <w:t xml:space="preserve"> The </w:t>
            </w:r>
            <w:r w:rsidR="00AE71DF">
              <w:t xml:space="preserve">adopted </w:t>
            </w:r>
            <w:r>
              <w:t>rules must require such</w:t>
            </w:r>
            <w:r w:rsidR="00116E3C">
              <w:t xml:space="preserve"> </w:t>
            </w:r>
            <w:r>
              <w:t xml:space="preserve">a person </w:t>
            </w:r>
            <w:r w:rsidR="00116E3C">
              <w:t xml:space="preserve">to </w:t>
            </w:r>
            <w:r>
              <w:t xml:space="preserve">register the large flexible load with the </w:t>
            </w:r>
            <w:r w:rsidR="00116E3C">
              <w:t>PUC</w:t>
            </w:r>
            <w:r>
              <w:t xml:space="preserve"> not later than one business day after the date the agreement begins and </w:t>
            </w:r>
            <w:r w:rsidR="00116E3C">
              <w:t xml:space="preserve">to </w:t>
            </w:r>
            <w:r>
              <w:t xml:space="preserve">provide the </w:t>
            </w:r>
            <w:r w:rsidR="00116E3C">
              <w:t>PUC</w:t>
            </w:r>
            <w:r>
              <w:t xml:space="preserve"> with the location of the facility and</w:t>
            </w:r>
            <w:r w:rsidR="00116E3C">
              <w:t xml:space="preserve"> </w:t>
            </w:r>
            <w:r>
              <w:t>the anticipated demand from the facility for the five-year period beg</w:t>
            </w:r>
            <w:r>
              <w:t>inning on the date of the registration.</w:t>
            </w:r>
            <w:r w:rsidR="00116E3C">
              <w:t xml:space="preserve"> </w:t>
            </w:r>
          </w:p>
          <w:p w14:paraId="4FF6ED3F" w14:textId="77777777" w:rsidR="0060171B" w:rsidRDefault="0060171B" w:rsidP="00E876E3">
            <w:pPr>
              <w:pStyle w:val="Header"/>
              <w:jc w:val="both"/>
            </w:pPr>
          </w:p>
          <w:p w14:paraId="5B6C6957" w14:textId="73A28F56" w:rsidR="00F24449" w:rsidRDefault="00CD4256" w:rsidP="00E876E3">
            <w:pPr>
              <w:pStyle w:val="Header"/>
              <w:jc w:val="both"/>
            </w:pPr>
            <w:r>
              <w:t>C.S.S.B. 1929</w:t>
            </w:r>
            <w:r w:rsidR="00116E3C">
              <w:t xml:space="preserve"> requires the PUC to adopt </w:t>
            </w:r>
            <w:r>
              <w:t xml:space="preserve">by rule </w:t>
            </w:r>
            <w:r w:rsidR="00116E3C">
              <w:t>criteria for determining whether a load is interruptible</w:t>
            </w:r>
            <w:r w:rsidR="00BA5CAB">
              <w:t xml:space="preserve"> for purposes of the bill's provisions</w:t>
            </w:r>
            <w:r w:rsidR="00116E3C">
              <w:t xml:space="preserve"> based on whether it is possible for the facility operator to choose to interrupt the load and to establish </w:t>
            </w:r>
            <w:r>
              <w:t xml:space="preserve">by rule </w:t>
            </w:r>
            <w:r w:rsidR="00116E3C">
              <w:t>a method to ensure compliance with the bill's provisions.</w:t>
            </w:r>
            <w:r w:rsidR="00BA5CAB">
              <w:t xml:space="preserve"> The bill authorizes the PUC to</w:t>
            </w:r>
            <w:r w:rsidR="00116E3C">
              <w:t xml:space="preserve"> share with </w:t>
            </w:r>
            <w:r w:rsidR="00BA5CAB">
              <w:t>ERCOT large flexible load</w:t>
            </w:r>
            <w:r w:rsidR="00116E3C">
              <w:t xml:space="preserve"> registration information</w:t>
            </w:r>
            <w:r w:rsidR="00BA5CAB">
              <w:t>.</w:t>
            </w:r>
            <w:r w:rsidR="00701E8F">
              <w:t xml:space="preserve"> </w:t>
            </w:r>
          </w:p>
          <w:p w14:paraId="767B70D2" w14:textId="77777777" w:rsidR="00F24449" w:rsidRDefault="00F24449" w:rsidP="00E876E3">
            <w:pPr>
              <w:pStyle w:val="Header"/>
              <w:jc w:val="both"/>
            </w:pPr>
          </w:p>
          <w:p w14:paraId="52F15F2E" w14:textId="48D0552A" w:rsidR="00701E8F" w:rsidRDefault="00CD4256" w:rsidP="00E876E3">
            <w:pPr>
              <w:pStyle w:val="Header"/>
              <w:jc w:val="both"/>
            </w:pPr>
            <w:r>
              <w:t xml:space="preserve">C.S.S.B. 1929 defines </w:t>
            </w:r>
            <w:r w:rsidRPr="00701E8F">
              <w:t>"</w:t>
            </w:r>
            <w:r>
              <w:t>v</w:t>
            </w:r>
            <w:r w:rsidRPr="00701E8F">
              <w:t xml:space="preserve">irtual currency mining facility" </w:t>
            </w:r>
            <w:r>
              <w:t>a</w:t>
            </w:r>
            <w:r>
              <w:t>s</w:t>
            </w:r>
            <w:r w:rsidRPr="00701E8F">
              <w:t xml:space="preserve"> a facility that uses electronic equipment to add virtual currency transactions to a distributed ledger</w:t>
            </w:r>
            <w:r>
              <w:t xml:space="preserve"> and defines "virtual currency" by reference as a digital representation of value that is used as a medium of exchange, unit of account, or store of val</w:t>
            </w:r>
            <w:r>
              <w:t>ue and is not legal tender, whether or not denominated in legal tender, but specifically excluding the following:</w:t>
            </w:r>
          </w:p>
          <w:p w14:paraId="12A455D9" w14:textId="2D56E632" w:rsidR="00701E8F" w:rsidRDefault="00CD4256" w:rsidP="00E876E3">
            <w:pPr>
              <w:pStyle w:val="Header"/>
              <w:numPr>
                <w:ilvl w:val="0"/>
                <w:numId w:val="3"/>
              </w:numPr>
              <w:jc w:val="both"/>
            </w:pPr>
            <w:r>
              <w:t>a transaction in which a merchant grants, as part of an affinity or rewards program, value that cannot be taken from or exchanged with the mer</w:t>
            </w:r>
            <w:r>
              <w:t>chant for legal tender, bank credit, or virtual currency; or</w:t>
            </w:r>
          </w:p>
          <w:p w14:paraId="158C6360" w14:textId="77777777" w:rsidR="008423E4" w:rsidRDefault="00CD4256" w:rsidP="00E876E3">
            <w:pPr>
              <w:pStyle w:val="Header"/>
              <w:numPr>
                <w:ilvl w:val="0"/>
                <w:numId w:val="3"/>
              </w:numPr>
              <w:jc w:val="both"/>
            </w:pPr>
            <w:r>
              <w:t xml:space="preserve">a digital representation of value issued by or on behalf of a publisher and used solely within an online game, game platform, or family of games sold by the same publisher or offered on the same </w:t>
            </w:r>
            <w:r>
              <w:t>game platform.</w:t>
            </w:r>
          </w:p>
          <w:p w14:paraId="5A2BC1EE" w14:textId="0EACC849" w:rsidR="00E876E3" w:rsidRPr="00F24449" w:rsidRDefault="00E876E3" w:rsidP="00E876E3">
            <w:pPr>
              <w:pStyle w:val="Header"/>
              <w:jc w:val="both"/>
            </w:pPr>
          </w:p>
        </w:tc>
      </w:tr>
      <w:tr w:rsidR="005D310E" w14:paraId="06E08EAE" w14:textId="77777777" w:rsidTr="00345119">
        <w:tc>
          <w:tcPr>
            <w:tcW w:w="9576" w:type="dxa"/>
          </w:tcPr>
          <w:p w14:paraId="4BD6AE3A" w14:textId="77777777" w:rsidR="008423E4" w:rsidRPr="00A8133F" w:rsidRDefault="00CD4256" w:rsidP="00E876E3">
            <w:pPr>
              <w:rPr>
                <w:b/>
              </w:rPr>
            </w:pPr>
            <w:r w:rsidRPr="009C1E9A">
              <w:rPr>
                <w:b/>
                <w:u w:val="single"/>
              </w:rPr>
              <w:t>EFFECTIVE DATE</w:t>
            </w:r>
            <w:r>
              <w:rPr>
                <w:b/>
              </w:rPr>
              <w:t xml:space="preserve"> </w:t>
            </w:r>
          </w:p>
          <w:p w14:paraId="05E6B779" w14:textId="77777777" w:rsidR="008423E4" w:rsidRDefault="008423E4" w:rsidP="00E876E3"/>
          <w:p w14:paraId="7F194C9C" w14:textId="031964DD" w:rsidR="008423E4" w:rsidRPr="003624F2" w:rsidRDefault="00CD4256" w:rsidP="00E876E3">
            <w:pPr>
              <w:pStyle w:val="Header"/>
              <w:tabs>
                <w:tab w:val="clear" w:pos="4320"/>
                <w:tab w:val="clear" w:pos="8640"/>
              </w:tabs>
              <w:jc w:val="both"/>
            </w:pPr>
            <w:r>
              <w:t>September 1, 2023.</w:t>
            </w:r>
          </w:p>
          <w:p w14:paraId="089CEA98" w14:textId="77777777" w:rsidR="008423E4" w:rsidRPr="00233FDB" w:rsidRDefault="008423E4" w:rsidP="00E876E3">
            <w:pPr>
              <w:rPr>
                <w:b/>
              </w:rPr>
            </w:pPr>
          </w:p>
        </w:tc>
      </w:tr>
      <w:tr w:rsidR="005D310E" w14:paraId="1DAE4894" w14:textId="77777777" w:rsidTr="00345119">
        <w:tc>
          <w:tcPr>
            <w:tcW w:w="9576" w:type="dxa"/>
          </w:tcPr>
          <w:p w14:paraId="196E2471" w14:textId="77777777" w:rsidR="006D32F5" w:rsidRDefault="00CD4256" w:rsidP="00E876E3">
            <w:pPr>
              <w:jc w:val="both"/>
              <w:rPr>
                <w:b/>
                <w:u w:val="single"/>
              </w:rPr>
            </w:pPr>
            <w:r>
              <w:rPr>
                <w:b/>
                <w:u w:val="single"/>
              </w:rPr>
              <w:t>COMPARISON OF SENATE ENGROSSED AND SUBSTITUTE</w:t>
            </w:r>
          </w:p>
          <w:p w14:paraId="2341CA76" w14:textId="77777777" w:rsidR="00BA5CAB" w:rsidRDefault="00BA5CAB" w:rsidP="00E876E3">
            <w:pPr>
              <w:jc w:val="both"/>
            </w:pPr>
          </w:p>
          <w:p w14:paraId="714D950C" w14:textId="4F2753C9" w:rsidR="00BA5CAB" w:rsidRDefault="00CD4256" w:rsidP="00E876E3">
            <w:pPr>
              <w:jc w:val="both"/>
            </w:pPr>
            <w:r>
              <w:t xml:space="preserve">While C.S.S.B. 1929 may differ from the engrossed in minor or nonsubstantive ways, the following summarizes the substantial differences between the </w:t>
            </w:r>
            <w:r>
              <w:t>engrossed and committee substitute versions of the bill.</w:t>
            </w:r>
          </w:p>
          <w:p w14:paraId="32C6166B" w14:textId="0FB4416D" w:rsidR="00BA5CAB" w:rsidRDefault="00BA5CAB" w:rsidP="00E876E3">
            <w:pPr>
              <w:jc w:val="both"/>
            </w:pPr>
          </w:p>
          <w:p w14:paraId="76C0D4C4" w14:textId="02E1F133" w:rsidR="000A184E" w:rsidRDefault="00CD4256" w:rsidP="00E876E3">
            <w:pPr>
              <w:jc w:val="both"/>
            </w:pPr>
            <w:r>
              <w:t>The substitute omits all provisions from the</w:t>
            </w:r>
            <w:r w:rsidR="0057111D" w:rsidRPr="0057111D">
              <w:t xml:space="preserve"> </w:t>
            </w:r>
            <w:r>
              <w:t>engrossed</w:t>
            </w:r>
            <w:r w:rsidR="00052C34">
              <w:t xml:space="preserve"> other than the effective date. Those provisions</w:t>
            </w:r>
            <w:r w:rsidR="0057111D" w:rsidRPr="0057111D">
              <w:t xml:space="preserve"> </w:t>
            </w:r>
            <w:r w:rsidR="00F97873">
              <w:t>authorized ERCOT to</w:t>
            </w:r>
            <w:r>
              <w:t xml:space="preserve"> do the following:</w:t>
            </w:r>
            <w:r w:rsidR="00F97873">
              <w:t xml:space="preserve"> </w:t>
            </w:r>
          </w:p>
          <w:p w14:paraId="178F872C" w14:textId="0B416F8A" w:rsidR="000A184E" w:rsidRDefault="00CD4256" w:rsidP="00E876E3">
            <w:pPr>
              <w:pStyle w:val="ListParagraph"/>
              <w:numPr>
                <w:ilvl w:val="0"/>
                <w:numId w:val="5"/>
              </w:numPr>
              <w:contextualSpacing w:val="0"/>
              <w:jc w:val="both"/>
            </w:pPr>
            <w:r>
              <w:t>require a person seeking to receive retail electric serv</w:t>
            </w:r>
            <w:r>
              <w:t xml:space="preserve">ice for a computing facility that requires a large, flexible electrical load or that </w:t>
            </w:r>
            <w:r w:rsidR="00F24449">
              <w:t>ERCOT</w:t>
            </w:r>
            <w:r>
              <w:t xml:space="preserve"> anticipates will require a large, flexible electrical load to</w:t>
            </w:r>
            <w:r w:rsidR="00DE76C6">
              <w:t xml:space="preserve"> </w:t>
            </w:r>
            <w:r w:rsidR="00AE71DF">
              <w:t xml:space="preserve">register the facility with ERCOT and </w:t>
            </w:r>
            <w:r>
              <w:t xml:space="preserve">provide </w:t>
            </w:r>
            <w:r w:rsidR="00DE76C6">
              <w:t xml:space="preserve">to </w:t>
            </w:r>
            <w:r>
              <w:t>ERCOT certain information</w:t>
            </w:r>
            <w:r w:rsidR="00DE76C6">
              <w:t xml:space="preserve"> reasonably necessary for ERCOT to carry out its functions regarding the market structure</w:t>
            </w:r>
            <w:r>
              <w:t>; and</w:t>
            </w:r>
          </w:p>
          <w:p w14:paraId="5B4E3462" w14:textId="16B05589" w:rsidR="000A184E" w:rsidRDefault="00CD4256" w:rsidP="00E876E3">
            <w:pPr>
              <w:pStyle w:val="ListParagraph"/>
              <w:numPr>
                <w:ilvl w:val="0"/>
                <w:numId w:val="5"/>
              </w:numPr>
              <w:contextualSpacing w:val="0"/>
              <w:jc w:val="both"/>
            </w:pPr>
            <w:r w:rsidRPr="000A184E">
              <w:t>adopt a ramping threshold, a consumption threshold, or other standard for determining whether an electrical load is large and flexible for th</w:t>
            </w:r>
            <w:r>
              <w:t>ose</w:t>
            </w:r>
            <w:r w:rsidRPr="000A184E">
              <w:t xml:space="preserve"> purposes</w:t>
            </w:r>
            <w:r>
              <w:t>.</w:t>
            </w:r>
          </w:p>
          <w:p w14:paraId="3E53EB0A" w14:textId="6860C697" w:rsidR="00D96155" w:rsidRDefault="00CD4256" w:rsidP="00E876E3">
            <w:pPr>
              <w:jc w:val="both"/>
            </w:pPr>
            <w:r>
              <w:t>Instead, t</w:t>
            </w:r>
            <w:r w:rsidR="0057111D" w:rsidRPr="0057111D">
              <w:t xml:space="preserve">he substitute </w:t>
            </w:r>
            <w:r>
              <w:t>includes pro</w:t>
            </w:r>
            <w:r>
              <w:t>visions that do the following:</w:t>
            </w:r>
          </w:p>
          <w:p w14:paraId="5B4960F4" w14:textId="6BFCAF0F" w:rsidR="00D96155" w:rsidRDefault="00CD4256" w:rsidP="00E876E3">
            <w:pPr>
              <w:pStyle w:val="ListParagraph"/>
              <w:numPr>
                <w:ilvl w:val="0"/>
                <w:numId w:val="6"/>
              </w:numPr>
              <w:contextualSpacing w:val="0"/>
              <w:jc w:val="both"/>
            </w:pPr>
            <w:r w:rsidRPr="00D96155">
              <w:t>require the PUC by rule to require a person operating a virtual currency mining facility who enters into an agreement for retail electric service in the ERCOT power region to register the facility receiving service as a large</w:t>
            </w:r>
            <w:r w:rsidRPr="00D96155">
              <w:t xml:space="preserve"> flexible load </w:t>
            </w:r>
            <w:r>
              <w:t>under certain conditions;</w:t>
            </w:r>
          </w:p>
          <w:p w14:paraId="57D4D041" w14:textId="724A3820" w:rsidR="00D96155" w:rsidRDefault="00CD4256" w:rsidP="00E876E3">
            <w:pPr>
              <w:pStyle w:val="ListParagraph"/>
              <w:numPr>
                <w:ilvl w:val="0"/>
                <w:numId w:val="6"/>
              </w:numPr>
              <w:contextualSpacing w:val="0"/>
              <w:jc w:val="both"/>
            </w:pPr>
            <w:r>
              <w:t xml:space="preserve">require the adopted rules to require such a person </w:t>
            </w:r>
            <w:r w:rsidRPr="00D96155">
              <w:t>to register the large flexible load with the PUC not later than one business day after the date the agreement begins and to provide the PUC with the location of the</w:t>
            </w:r>
            <w:r w:rsidRPr="00D96155">
              <w:t xml:space="preserve"> facility and the anticipated demand from the facility for the five-year period beginning on the date of the registration</w:t>
            </w:r>
            <w:r>
              <w:t>;</w:t>
            </w:r>
            <w:r w:rsidR="00B27356">
              <w:t xml:space="preserve"> and</w:t>
            </w:r>
          </w:p>
          <w:p w14:paraId="1BC2F631" w14:textId="65159262" w:rsidR="00052C34" w:rsidRDefault="00CD4256" w:rsidP="00E876E3">
            <w:pPr>
              <w:pStyle w:val="ListParagraph"/>
              <w:numPr>
                <w:ilvl w:val="0"/>
                <w:numId w:val="6"/>
              </w:numPr>
              <w:contextualSpacing w:val="0"/>
              <w:jc w:val="both"/>
            </w:pPr>
            <w:r>
              <w:t xml:space="preserve">require </w:t>
            </w:r>
            <w:r w:rsidRPr="00052C34">
              <w:t>the PUC to adopt by rule criteria for determining whether a load is interruptible based on whether it is possible for the</w:t>
            </w:r>
            <w:r w:rsidRPr="00052C34">
              <w:t xml:space="preserve"> facility operator to choose to interrupt the load and to establish by rule a method to ensure compliance with </w:t>
            </w:r>
            <w:r>
              <w:t>large flexible load registration</w:t>
            </w:r>
            <w:r w:rsidR="000A184E">
              <w:t>.</w:t>
            </w:r>
          </w:p>
          <w:p w14:paraId="597FFA32" w14:textId="3ED92077" w:rsidR="00BA5CAB" w:rsidRPr="00BA5CAB" w:rsidRDefault="00CD4256" w:rsidP="00E876E3">
            <w:pPr>
              <w:jc w:val="both"/>
            </w:pPr>
            <w:r>
              <w:t>The substitute includes provision</w:t>
            </w:r>
            <w:r w:rsidR="00BA3F2A">
              <w:t>s</w:t>
            </w:r>
            <w:r>
              <w:t xml:space="preserve"> absent from the engrossed authorizing the </w:t>
            </w:r>
            <w:r w:rsidR="001A7ACB">
              <w:t>PUC to share registration information with ERCOT</w:t>
            </w:r>
            <w:r w:rsidR="00BA3F2A">
              <w:t xml:space="preserve"> and defining "virtual currency mining facility" and "virtual currency</w:t>
            </w:r>
            <w:r w:rsidR="001A7ACB">
              <w:t>.</w:t>
            </w:r>
            <w:r w:rsidR="00BA3F2A">
              <w:t>"</w:t>
            </w:r>
            <w:r>
              <w:t xml:space="preserve"> </w:t>
            </w:r>
          </w:p>
        </w:tc>
      </w:tr>
      <w:tr w:rsidR="005D310E" w14:paraId="67D7A859" w14:textId="77777777" w:rsidTr="00345119">
        <w:tc>
          <w:tcPr>
            <w:tcW w:w="9576" w:type="dxa"/>
          </w:tcPr>
          <w:p w14:paraId="548E080C" w14:textId="77777777" w:rsidR="006D32F5" w:rsidRPr="009C1E9A" w:rsidRDefault="006D32F5" w:rsidP="00E876E3">
            <w:pPr>
              <w:rPr>
                <w:b/>
                <w:u w:val="single"/>
              </w:rPr>
            </w:pPr>
          </w:p>
        </w:tc>
      </w:tr>
      <w:tr w:rsidR="005D310E" w14:paraId="5B8D315C" w14:textId="77777777" w:rsidTr="00345119">
        <w:tc>
          <w:tcPr>
            <w:tcW w:w="9576" w:type="dxa"/>
          </w:tcPr>
          <w:p w14:paraId="6F1A35C1" w14:textId="77777777" w:rsidR="006D32F5" w:rsidRPr="006D32F5" w:rsidRDefault="006D32F5" w:rsidP="00E876E3">
            <w:pPr>
              <w:jc w:val="both"/>
            </w:pPr>
          </w:p>
        </w:tc>
      </w:tr>
    </w:tbl>
    <w:p w14:paraId="6FCE6B4C" w14:textId="77777777" w:rsidR="008423E4" w:rsidRPr="00BE0E75" w:rsidRDefault="008423E4" w:rsidP="00E876E3">
      <w:pPr>
        <w:jc w:val="both"/>
        <w:rPr>
          <w:rFonts w:ascii="Arial" w:hAnsi="Arial"/>
          <w:sz w:val="16"/>
          <w:szCs w:val="16"/>
        </w:rPr>
      </w:pPr>
    </w:p>
    <w:p w14:paraId="5CF72464" w14:textId="77777777" w:rsidR="004108C3" w:rsidRPr="008423E4" w:rsidRDefault="004108C3" w:rsidP="00E876E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2653" w14:textId="77777777" w:rsidR="00000000" w:rsidRDefault="00CD4256">
      <w:r>
        <w:separator/>
      </w:r>
    </w:p>
  </w:endnote>
  <w:endnote w:type="continuationSeparator" w:id="0">
    <w:p w14:paraId="77092538" w14:textId="77777777" w:rsidR="00000000" w:rsidRDefault="00CD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B817"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D310E" w14:paraId="72FC9A01" w14:textId="77777777" w:rsidTr="009C1E9A">
      <w:trPr>
        <w:cantSplit/>
      </w:trPr>
      <w:tc>
        <w:tcPr>
          <w:tcW w:w="0" w:type="pct"/>
        </w:tcPr>
        <w:p w14:paraId="4CBB4391" w14:textId="77777777" w:rsidR="00137D90" w:rsidRDefault="00137D90" w:rsidP="009C1E9A">
          <w:pPr>
            <w:pStyle w:val="Footer"/>
            <w:tabs>
              <w:tab w:val="clear" w:pos="8640"/>
              <w:tab w:val="right" w:pos="9360"/>
            </w:tabs>
          </w:pPr>
        </w:p>
      </w:tc>
      <w:tc>
        <w:tcPr>
          <w:tcW w:w="2395" w:type="pct"/>
        </w:tcPr>
        <w:p w14:paraId="471BE08A" w14:textId="77777777" w:rsidR="00137D90" w:rsidRDefault="00137D90" w:rsidP="009C1E9A">
          <w:pPr>
            <w:pStyle w:val="Footer"/>
            <w:tabs>
              <w:tab w:val="clear" w:pos="8640"/>
              <w:tab w:val="right" w:pos="9360"/>
            </w:tabs>
          </w:pPr>
        </w:p>
        <w:p w14:paraId="1381DB9D" w14:textId="77777777" w:rsidR="001A4310" w:rsidRDefault="001A4310" w:rsidP="009C1E9A">
          <w:pPr>
            <w:pStyle w:val="Footer"/>
            <w:tabs>
              <w:tab w:val="clear" w:pos="8640"/>
              <w:tab w:val="right" w:pos="9360"/>
            </w:tabs>
          </w:pPr>
        </w:p>
        <w:p w14:paraId="77D2C277" w14:textId="77777777" w:rsidR="00137D90" w:rsidRDefault="00137D90" w:rsidP="009C1E9A">
          <w:pPr>
            <w:pStyle w:val="Footer"/>
            <w:tabs>
              <w:tab w:val="clear" w:pos="8640"/>
              <w:tab w:val="right" w:pos="9360"/>
            </w:tabs>
          </w:pPr>
        </w:p>
      </w:tc>
      <w:tc>
        <w:tcPr>
          <w:tcW w:w="2453" w:type="pct"/>
        </w:tcPr>
        <w:p w14:paraId="6B7B446A" w14:textId="77777777" w:rsidR="00137D90" w:rsidRDefault="00137D90" w:rsidP="009C1E9A">
          <w:pPr>
            <w:pStyle w:val="Footer"/>
            <w:tabs>
              <w:tab w:val="clear" w:pos="8640"/>
              <w:tab w:val="right" w:pos="9360"/>
            </w:tabs>
            <w:jc w:val="right"/>
          </w:pPr>
        </w:p>
      </w:tc>
    </w:tr>
    <w:tr w:rsidR="005D310E" w14:paraId="7826519C" w14:textId="77777777" w:rsidTr="009C1E9A">
      <w:trPr>
        <w:cantSplit/>
      </w:trPr>
      <w:tc>
        <w:tcPr>
          <w:tcW w:w="0" w:type="pct"/>
        </w:tcPr>
        <w:p w14:paraId="5FAD102C" w14:textId="77777777" w:rsidR="00EC379B" w:rsidRDefault="00EC379B" w:rsidP="009C1E9A">
          <w:pPr>
            <w:pStyle w:val="Footer"/>
            <w:tabs>
              <w:tab w:val="clear" w:pos="8640"/>
              <w:tab w:val="right" w:pos="9360"/>
            </w:tabs>
          </w:pPr>
        </w:p>
      </w:tc>
      <w:tc>
        <w:tcPr>
          <w:tcW w:w="2395" w:type="pct"/>
        </w:tcPr>
        <w:p w14:paraId="0D5252E9" w14:textId="233697B7" w:rsidR="00EC379B" w:rsidRPr="009C1E9A" w:rsidRDefault="00CD4256" w:rsidP="009C1E9A">
          <w:pPr>
            <w:pStyle w:val="Footer"/>
            <w:tabs>
              <w:tab w:val="clear" w:pos="8640"/>
              <w:tab w:val="right" w:pos="9360"/>
            </w:tabs>
            <w:rPr>
              <w:rFonts w:ascii="Shruti" w:hAnsi="Shruti"/>
              <w:sz w:val="22"/>
            </w:rPr>
          </w:pPr>
          <w:r>
            <w:rPr>
              <w:rFonts w:ascii="Shruti" w:hAnsi="Shruti"/>
              <w:sz w:val="22"/>
            </w:rPr>
            <w:t>88R 28648-D</w:t>
          </w:r>
        </w:p>
      </w:tc>
      <w:tc>
        <w:tcPr>
          <w:tcW w:w="2453" w:type="pct"/>
        </w:tcPr>
        <w:p w14:paraId="2A436FD7" w14:textId="21F6AD4E" w:rsidR="00EC379B" w:rsidRDefault="00CD4256" w:rsidP="009C1E9A">
          <w:pPr>
            <w:pStyle w:val="Footer"/>
            <w:tabs>
              <w:tab w:val="clear" w:pos="8640"/>
              <w:tab w:val="right" w:pos="9360"/>
            </w:tabs>
            <w:jc w:val="right"/>
          </w:pPr>
          <w:r>
            <w:fldChar w:fldCharType="begin"/>
          </w:r>
          <w:r>
            <w:instrText xml:space="preserve"> DOCPROPERTY  OTID  \* MERGEFORMAT </w:instrText>
          </w:r>
          <w:r>
            <w:fldChar w:fldCharType="separate"/>
          </w:r>
          <w:r w:rsidR="00141DB1">
            <w:t>23.126.1254</w:t>
          </w:r>
          <w:r>
            <w:fldChar w:fldCharType="end"/>
          </w:r>
        </w:p>
      </w:tc>
    </w:tr>
    <w:tr w:rsidR="005D310E" w14:paraId="50BEFCF1" w14:textId="77777777" w:rsidTr="009C1E9A">
      <w:trPr>
        <w:cantSplit/>
      </w:trPr>
      <w:tc>
        <w:tcPr>
          <w:tcW w:w="0" w:type="pct"/>
        </w:tcPr>
        <w:p w14:paraId="7115CAF3" w14:textId="77777777" w:rsidR="00EC379B" w:rsidRDefault="00EC379B" w:rsidP="009C1E9A">
          <w:pPr>
            <w:pStyle w:val="Footer"/>
            <w:tabs>
              <w:tab w:val="clear" w:pos="4320"/>
              <w:tab w:val="clear" w:pos="8640"/>
              <w:tab w:val="left" w:pos="2865"/>
            </w:tabs>
          </w:pPr>
        </w:p>
      </w:tc>
      <w:tc>
        <w:tcPr>
          <w:tcW w:w="2395" w:type="pct"/>
        </w:tcPr>
        <w:p w14:paraId="6C17C117" w14:textId="514FEB54" w:rsidR="00EC379B" w:rsidRPr="009C1E9A" w:rsidRDefault="00CD4256" w:rsidP="009C1E9A">
          <w:pPr>
            <w:pStyle w:val="Footer"/>
            <w:tabs>
              <w:tab w:val="clear" w:pos="4320"/>
              <w:tab w:val="clear" w:pos="8640"/>
              <w:tab w:val="left" w:pos="2865"/>
            </w:tabs>
            <w:rPr>
              <w:rFonts w:ascii="Shruti" w:hAnsi="Shruti"/>
              <w:sz w:val="22"/>
            </w:rPr>
          </w:pPr>
          <w:r>
            <w:rPr>
              <w:rFonts w:ascii="Shruti" w:hAnsi="Shruti"/>
              <w:sz w:val="22"/>
            </w:rPr>
            <w:t>Substitute Document Number: 88R 28177</w:t>
          </w:r>
        </w:p>
      </w:tc>
      <w:tc>
        <w:tcPr>
          <w:tcW w:w="2453" w:type="pct"/>
        </w:tcPr>
        <w:p w14:paraId="66577016" w14:textId="77777777" w:rsidR="00EC379B" w:rsidRDefault="00EC379B" w:rsidP="006D504F">
          <w:pPr>
            <w:pStyle w:val="Footer"/>
            <w:rPr>
              <w:rStyle w:val="PageNumber"/>
            </w:rPr>
          </w:pPr>
        </w:p>
        <w:p w14:paraId="4373E903" w14:textId="77777777" w:rsidR="00EC379B" w:rsidRDefault="00EC379B" w:rsidP="009C1E9A">
          <w:pPr>
            <w:pStyle w:val="Footer"/>
            <w:tabs>
              <w:tab w:val="clear" w:pos="8640"/>
              <w:tab w:val="right" w:pos="9360"/>
            </w:tabs>
            <w:jc w:val="right"/>
          </w:pPr>
        </w:p>
      </w:tc>
    </w:tr>
    <w:tr w:rsidR="005D310E" w14:paraId="0AE5F30F" w14:textId="77777777" w:rsidTr="009C1E9A">
      <w:trPr>
        <w:cantSplit/>
        <w:trHeight w:val="323"/>
      </w:trPr>
      <w:tc>
        <w:tcPr>
          <w:tcW w:w="0" w:type="pct"/>
          <w:gridSpan w:val="3"/>
        </w:tcPr>
        <w:p w14:paraId="49FA961F" w14:textId="77777777" w:rsidR="00EC379B" w:rsidRDefault="00CD425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5E04AC" w14:textId="77777777" w:rsidR="00EC379B" w:rsidRDefault="00EC379B" w:rsidP="009C1E9A">
          <w:pPr>
            <w:pStyle w:val="Footer"/>
            <w:tabs>
              <w:tab w:val="clear" w:pos="8640"/>
              <w:tab w:val="right" w:pos="9360"/>
            </w:tabs>
            <w:jc w:val="center"/>
          </w:pPr>
        </w:p>
      </w:tc>
    </w:tr>
  </w:tbl>
  <w:p w14:paraId="32AA3F3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AF6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BE53" w14:textId="77777777" w:rsidR="00000000" w:rsidRDefault="00CD4256">
      <w:r>
        <w:separator/>
      </w:r>
    </w:p>
  </w:footnote>
  <w:footnote w:type="continuationSeparator" w:id="0">
    <w:p w14:paraId="3BFF2A20" w14:textId="77777777" w:rsidR="00000000" w:rsidRDefault="00CD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85E0"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49F5"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5F3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6FD9"/>
    <w:multiLevelType w:val="hybridMultilevel"/>
    <w:tmpl w:val="B0B47496"/>
    <w:lvl w:ilvl="0" w:tplc="006A6360">
      <w:start w:val="1"/>
      <w:numFmt w:val="decimal"/>
      <w:lvlText w:val="(%1)"/>
      <w:lvlJc w:val="left"/>
      <w:pPr>
        <w:ind w:left="840" w:hanging="480"/>
      </w:pPr>
      <w:rPr>
        <w:rFonts w:hint="default"/>
      </w:rPr>
    </w:lvl>
    <w:lvl w:ilvl="1" w:tplc="CAEC69CC" w:tentative="1">
      <w:start w:val="1"/>
      <w:numFmt w:val="lowerLetter"/>
      <w:lvlText w:val="%2."/>
      <w:lvlJc w:val="left"/>
      <w:pPr>
        <w:ind w:left="1440" w:hanging="360"/>
      </w:pPr>
    </w:lvl>
    <w:lvl w:ilvl="2" w:tplc="3DD20580" w:tentative="1">
      <w:start w:val="1"/>
      <w:numFmt w:val="lowerRoman"/>
      <w:lvlText w:val="%3."/>
      <w:lvlJc w:val="right"/>
      <w:pPr>
        <w:ind w:left="2160" w:hanging="180"/>
      </w:pPr>
    </w:lvl>
    <w:lvl w:ilvl="3" w:tplc="3FA4FE32" w:tentative="1">
      <w:start w:val="1"/>
      <w:numFmt w:val="decimal"/>
      <w:lvlText w:val="%4."/>
      <w:lvlJc w:val="left"/>
      <w:pPr>
        <w:ind w:left="2880" w:hanging="360"/>
      </w:pPr>
    </w:lvl>
    <w:lvl w:ilvl="4" w:tplc="46FCC312" w:tentative="1">
      <w:start w:val="1"/>
      <w:numFmt w:val="lowerLetter"/>
      <w:lvlText w:val="%5."/>
      <w:lvlJc w:val="left"/>
      <w:pPr>
        <w:ind w:left="3600" w:hanging="360"/>
      </w:pPr>
    </w:lvl>
    <w:lvl w:ilvl="5" w:tplc="FBAA5E9E" w:tentative="1">
      <w:start w:val="1"/>
      <w:numFmt w:val="lowerRoman"/>
      <w:lvlText w:val="%6."/>
      <w:lvlJc w:val="right"/>
      <w:pPr>
        <w:ind w:left="4320" w:hanging="180"/>
      </w:pPr>
    </w:lvl>
    <w:lvl w:ilvl="6" w:tplc="33128104" w:tentative="1">
      <w:start w:val="1"/>
      <w:numFmt w:val="decimal"/>
      <w:lvlText w:val="%7."/>
      <w:lvlJc w:val="left"/>
      <w:pPr>
        <w:ind w:left="5040" w:hanging="360"/>
      </w:pPr>
    </w:lvl>
    <w:lvl w:ilvl="7" w:tplc="1BDC1970" w:tentative="1">
      <w:start w:val="1"/>
      <w:numFmt w:val="lowerLetter"/>
      <w:lvlText w:val="%8."/>
      <w:lvlJc w:val="left"/>
      <w:pPr>
        <w:ind w:left="5760" w:hanging="360"/>
      </w:pPr>
    </w:lvl>
    <w:lvl w:ilvl="8" w:tplc="4AE6BA16" w:tentative="1">
      <w:start w:val="1"/>
      <w:numFmt w:val="lowerRoman"/>
      <w:lvlText w:val="%9."/>
      <w:lvlJc w:val="right"/>
      <w:pPr>
        <w:ind w:left="6480" w:hanging="180"/>
      </w:pPr>
    </w:lvl>
  </w:abstractNum>
  <w:abstractNum w:abstractNumId="1" w15:restartNumberingAfterBreak="0">
    <w:nsid w:val="363D11DD"/>
    <w:multiLevelType w:val="hybridMultilevel"/>
    <w:tmpl w:val="99F49F5E"/>
    <w:lvl w:ilvl="0" w:tplc="618481F0">
      <w:start w:val="1"/>
      <w:numFmt w:val="upperLetter"/>
      <w:lvlText w:val="(%1)"/>
      <w:lvlJc w:val="left"/>
      <w:pPr>
        <w:ind w:left="840" w:hanging="480"/>
      </w:pPr>
      <w:rPr>
        <w:rFonts w:hint="default"/>
      </w:rPr>
    </w:lvl>
    <w:lvl w:ilvl="1" w:tplc="7B48DE78" w:tentative="1">
      <w:start w:val="1"/>
      <w:numFmt w:val="lowerLetter"/>
      <w:lvlText w:val="%2."/>
      <w:lvlJc w:val="left"/>
      <w:pPr>
        <w:ind w:left="1440" w:hanging="360"/>
      </w:pPr>
    </w:lvl>
    <w:lvl w:ilvl="2" w:tplc="52DC3D42" w:tentative="1">
      <w:start w:val="1"/>
      <w:numFmt w:val="lowerRoman"/>
      <w:lvlText w:val="%3."/>
      <w:lvlJc w:val="right"/>
      <w:pPr>
        <w:ind w:left="2160" w:hanging="180"/>
      </w:pPr>
    </w:lvl>
    <w:lvl w:ilvl="3" w:tplc="72325A4A" w:tentative="1">
      <w:start w:val="1"/>
      <w:numFmt w:val="decimal"/>
      <w:lvlText w:val="%4."/>
      <w:lvlJc w:val="left"/>
      <w:pPr>
        <w:ind w:left="2880" w:hanging="360"/>
      </w:pPr>
    </w:lvl>
    <w:lvl w:ilvl="4" w:tplc="1E6C8B48" w:tentative="1">
      <w:start w:val="1"/>
      <w:numFmt w:val="lowerLetter"/>
      <w:lvlText w:val="%5."/>
      <w:lvlJc w:val="left"/>
      <w:pPr>
        <w:ind w:left="3600" w:hanging="360"/>
      </w:pPr>
    </w:lvl>
    <w:lvl w:ilvl="5" w:tplc="D708C67C" w:tentative="1">
      <w:start w:val="1"/>
      <w:numFmt w:val="lowerRoman"/>
      <w:lvlText w:val="%6."/>
      <w:lvlJc w:val="right"/>
      <w:pPr>
        <w:ind w:left="4320" w:hanging="180"/>
      </w:pPr>
    </w:lvl>
    <w:lvl w:ilvl="6" w:tplc="3A6A4DFA" w:tentative="1">
      <w:start w:val="1"/>
      <w:numFmt w:val="decimal"/>
      <w:lvlText w:val="%7."/>
      <w:lvlJc w:val="left"/>
      <w:pPr>
        <w:ind w:left="5040" w:hanging="360"/>
      </w:pPr>
    </w:lvl>
    <w:lvl w:ilvl="7" w:tplc="05B8AD46" w:tentative="1">
      <w:start w:val="1"/>
      <w:numFmt w:val="lowerLetter"/>
      <w:lvlText w:val="%8."/>
      <w:lvlJc w:val="left"/>
      <w:pPr>
        <w:ind w:left="5760" w:hanging="360"/>
      </w:pPr>
    </w:lvl>
    <w:lvl w:ilvl="8" w:tplc="01662898" w:tentative="1">
      <w:start w:val="1"/>
      <w:numFmt w:val="lowerRoman"/>
      <w:lvlText w:val="%9."/>
      <w:lvlJc w:val="right"/>
      <w:pPr>
        <w:ind w:left="6480" w:hanging="180"/>
      </w:pPr>
    </w:lvl>
  </w:abstractNum>
  <w:abstractNum w:abstractNumId="2" w15:restartNumberingAfterBreak="0">
    <w:nsid w:val="52BD5DC9"/>
    <w:multiLevelType w:val="hybridMultilevel"/>
    <w:tmpl w:val="52C83AEA"/>
    <w:lvl w:ilvl="0" w:tplc="1C121FA2">
      <w:start w:val="1"/>
      <w:numFmt w:val="bullet"/>
      <w:lvlText w:val=""/>
      <w:lvlJc w:val="left"/>
      <w:pPr>
        <w:tabs>
          <w:tab w:val="num" w:pos="720"/>
        </w:tabs>
        <w:ind w:left="720" w:hanging="360"/>
      </w:pPr>
      <w:rPr>
        <w:rFonts w:ascii="Symbol" w:hAnsi="Symbol" w:hint="default"/>
      </w:rPr>
    </w:lvl>
    <w:lvl w:ilvl="1" w:tplc="D3643580" w:tentative="1">
      <w:start w:val="1"/>
      <w:numFmt w:val="bullet"/>
      <w:lvlText w:val="o"/>
      <w:lvlJc w:val="left"/>
      <w:pPr>
        <w:ind w:left="1440" w:hanging="360"/>
      </w:pPr>
      <w:rPr>
        <w:rFonts w:ascii="Courier New" w:hAnsi="Courier New" w:cs="Courier New" w:hint="default"/>
      </w:rPr>
    </w:lvl>
    <w:lvl w:ilvl="2" w:tplc="C38A219E" w:tentative="1">
      <w:start w:val="1"/>
      <w:numFmt w:val="bullet"/>
      <w:lvlText w:val=""/>
      <w:lvlJc w:val="left"/>
      <w:pPr>
        <w:ind w:left="2160" w:hanging="360"/>
      </w:pPr>
      <w:rPr>
        <w:rFonts w:ascii="Wingdings" w:hAnsi="Wingdings" w:hint="default"/>
      </w:rPr>
    </w:lvl>
    <w:lvl w:ilvl="3" w:tplc="ED9621CE" w:tentative="1">
      <w:start w:val="1"/>
      <w:numFmt w:val="bullet"/>
      <w:lvlText w:val=""/>
      <w:lvlJc w:val="left"/>
      <w:pPr>
        <w:ind w:left="2880" w:hanging="360"/>
      </w:pPr>
      <w:rPr>
        <w:rFonts w:ascii="Symbol" w:hAnsi="Symbol" w:hint="default"/>
      </w:rPr>
    </w:lvl>
    <w:lvl w:ilvl="4" w:tplc="22267E26" w:tentative="1">
      <w:start w:val="1"/>
      <w:numFmt w:val="bullet"/>
      <w:lvlText w:val="o"/>
      <w:lvlJc w:val="left"/>
      <w:pPr>
        <w:ind w:left="3600" w:hanging="360"/>
      </w:pPr>
      <w:rPr>
        <w:rFonts w:ascii="Courier New" w:hAnsi="Courier New" w:cs="Courier New" w:hint="default"/>
      </w:rPr>
    </w:lvl>
    <w:lvl w:ilvl="5" w:tplc="FFC84488" w:tentative="1">
      <w:start w:val="1"/>
      <w:numFmt w:val="bullet"/>
      <w:lvlText w:val=""/>
      <w:lvlJc w:val="left"/>
      <w:pPr>
        <w:ind w:left="4320" w:hanging="360"/>
      </w:pPr>
      <w:rPr>
        <w:rFonts w:ascii="Wingdings" w:hAnsi="Wingdings" w:hint="default"/>
      </w:rPr>
    </w:lvl>
    <w:lvl w:ilvl="6" w:tplc="798A07B4" w:tentative="1">
      <w:start w:val="1"/>
      <w:numFmt w:val="bullet"/>
      <w:lvlText w:val=""/>
      <w:lvlJc w:val="left"/>
      <w:pPr>
        <w:ind w:left="5040" w:hanging="360"/>
      </w:pPr>
      <w:rPr>
        <w:rFonts w:ascii="Symbol" w:hAnsi="Symbol" w:hint="default"/>
      </w:rPr>
    </w:lvl>
    <w:lvl w:ilvl="7" w:tplc="E11470EA" w:tentative="1">
      <w:start w:val="1"/>
      <w:numFmt w:val="bullet"/>
      <w:lvlText w:val="o"/>
      <w:lvlJc w:val="left"/>
      <w:pPr>
        <w:ind w:left="5760" w:hanging="360"/>
      </w:pPr>
      <w:rPr>
        <w:rFonts w:ascii="Courier New" w:hAnsi="Courier New" w:cs="Courier New" w:hint="default"/>
      </w:rPr>
    </w:lvl>
    <w:lvl w:ilvl="8" w:tplc="5CC67696" w:tentative="1">
      <w:start w:val="1"/>
      <w:numFmt w:val="bullet"/>
      <w:lvlText w:val=""/>
      <w:lvlJc w:val="left"/>
      <w:pPr>
        <w:ind w:left="6480" w:hanging="360"/>
      </w:pPr>
      <w:rPr>
        <w:rFonts w:ascii="Wingdings" w:hAnsi="Wingdings" w:hint="default"/>
      </w:rPr>
    </w:lvl>
  </w:abstractNum>
  <w:abstractNum w:abstractNumId="3" w15:restartNumberingAfterBreak="0">
    <w:nsid w:val="5E61754F"/>
    <w:multiLevelType w:val="hybridMultilevel"/>
    <w:tmpl w:val="6E30B5E0"/>
    <w:lvl w:ilvl="0" w:tplc="703C4D84">
      <w:start w:val="1"/>
      <w:numFmt w:val="bullet"/>
      <w:lvlText w:val=""/>
      <w:lvlJc w:val="left"/>
      <w:pPr>
        <w:tabs>
          <w:tab w:val="num" w:pos="720"/>
        </w:tabs>
        <w:ind w:left="720" w:hanging="360"/>
      </w:pPr>
      <w:rPr>
        <w:rFonts w:ascii="Symbol" w:hAnsi="Symbol" w:hint="default"/>
      </w:rPr>
    </w:lvl>
    <w:lvl w:ilvl="1" w:tplc="3098C0C4" w:tentative="1">
      <w:start w:val="1"/>
      <w:numFmt w:val="bullet"/>
      <w:lvlText w:val="o"/>
      <w:lvlJc w:val="left"/>
      <w:pPr>
        <w:ind w:left="1440" w:hanging="360"/>
      </w:pPr>
      <w:rPr>
        <w:rFonts w:ascii="Courier New" w:hAnsi="Courier New" w:cs="Courier New" w:hint="default"/>
      </w:rPr>
    </w:lvl>
    <w:lvl w:ilvl="2" w:tplc="9ABEE99A" w:tentative="1">
      <w:start w:val="1"/>
      <w:numFmt w:val="bullet"/>
      <w:lvlText w:val=""/>
      <w:lvlJc w:val="left"/>
      <w:pPr>
        <w:ind w:left="2160" w:hanging="360"/>
      </w:pPr>
      <w:rPr>
        <w:rFonts w:ascii="Wingdings" w:hAnsi="Wingdings" w:hint="default"/>
      </w:rPr>
    </w:lvl>
    <w:lvl w:ilvl="3" w:tplc="4BF4295C" w:tentative="1">
      <w:start w:val="1"/>
      <w:numFmt w:val="bullet"/>
      <w:lvlText w:val=""/>
      <w:lvlJc w:val="left"/>
      <w:pPr>
        <w:ind w:left="2880" w:hanging="360"/>
      </w:pPr>
      <w:rPr>
        <w:rFonts w:ascii="Symbol" w:hAnsi="Symbol" w:hint="default"/>
      </w:rPr>
    </w:lvl>
    <w:lvl w:ilvl="4" w:tplc="29A29B24" w:tentative="1">
      <w:start w:val="1"/>
      <w:numFmt w:val="bullet"/>
      <w:lvlText w:val="o"/>
      <w:lvlJc w:val="left"/>
      <w:pPr>
        <w:ind w:left="3600" w:hanging="360"/>
      </w:pPr>
      <w:rPr>
        <w:rFonts w:ascii="Courier New" w:hAnsi="Courier New" w:cs="Courier New" w:hint="default"/>
      </w:rPr>
    </w:lvl>
    <w:lvl w:ilvl="5" w:tplc="4DAAC2E0" w:tentative="1">
      <w:start w:val="1"/>
      <w:numFmt w:val="bullet"/>
      <w:lvlText w:val=""/>
      <w:lvlJc w:val="left"/>
      <w:pPr>
        <w:ind w:left="4320" w:hanging="360"/>
      </w:pPr>
      <w:rPr>
        <w:rFonts w:ascii="Wingdings" w:hAnsi="Wingdings" w:hint="default"/>
      </w:rPr>
    </w:lvl>
    <w:lvl w:ilvl="6" w:tplc="943086A8" w:tentative="1">
      <w:start w:val="1"/>
      <w:numFmt w:val="bullet"/>
      <w:lvlText w:val=""/>
      <w:lvlJc w:val="left"/>
      <w:pPr>
        <w:ind w:left="5040" w:hanging="360"/>
      </w:pPr>
      <w:rPr>
        <w:rFonts w:ascii="Symbol" w:hAnsi="Symbol" w:hint="default"/>
      </w:rPr>
    </w:lvl>
    <w:lvl w:ilvl="7" w:tplc="63A66B3E" w:tentative="1">
      <w:start w:val="1"/>
      <w:numFmt w:val="bullet"/>
      <w:lvlText w:val="o"/>
      <w:lvlJc w:val="left"/>
      <w:pPr>
        <w:ind w:left="5760" w:hanging="360"/>
      </w:pPr>
      <w:rPr>
        <w:rFonts w:ascii="Courier New" w:hAnsi="Courier New" w:cs="Courier New" w:hint="default"/>
      </w:rPr>
    </w:lvl>
    <w:lvl w:ilvl="8" w:tplc="A5C40172" w:tentative="1">
      <w:start w:val="1"/>
      <w:numFmt w:val="bullet"/>
      <w:lvlText w:val=""/>
      <w:lvlJc w:val="left"/>
      <w:pPr>
        <w:ind w:left="6480" w:hanging="360"/>
      </w:pPr>
      <w:rPr>
        <w:rFonts w:ascii="Wingdings" w:hAnsi="Wingdings" w:hint="default"/>
      </w:rPr>
    </w:lvl>
  </w:abstractNum>
  <w:abstractNum w:abstractNumId="4" w15:restartNumberingAfterBreak="0">
    <w:nsid w:val="6AF16F52"/>
    <w:multiLevelType w:val="hybridMultilevel"/>
    <w:tmpl w:val="FC58850E"/>
    <w:lvl w:ilvl="0" w:tplc="F6941EF2">
      <w:start w:val="1"/>
      <w:numFmt w:val="bullet"/>
      <w:lvlText w:val=""/>
      <w:lvlJc w:val="left"/>
      <w:pPr>
        <w:tabs>
          <w:tab w:val="num" w:pos="720"/>
        </w:tabs>
        <w:ind w:left="720" w:hanging="360"/>
      </w:pPr>
      <w:rPr>
        <w:rFonts w:ascii="Symbol" w:hAnsi="Symbol" w:hint="default"/>
      </w:rPr>
    </w:lvl>
    <w:lvl w:ilvl="1" w:tplc="6BFCFC02" w:tentative="1">
      <w:start w:val="1"/>
      <w:numFmt w:val="bullet"/>
      <w:lvlText w:val="o"/>
      <w:lvlJc w:val="left"/>
      <w:pPr>
        <w:ind w:left="1440" w:hanging="360"/>
      </w:pPr>
      <w:rPr>
        <w:rFonts w:ascii="Courier New" w:hAnsi="Courier New" w:cs="Courier New" w:hint="default"/>
      </w:rPr>
    </w:lvl>
    <w:lvl w:ilvl="2" w:tplc="62A4B034" w:tentative="1">
      <w:start w:val="1"/>
      <w:numFmt w:val="bullet"/>
      <w:lvlText w:val=""/>
      <w:lvlJc w:val="left"/>
      <w:pPr>
        <w:ind w:left="2160" w:hanging="360"/>
      </w:pPr>
      <w:rPr>
        <w:rFonts w:ascii="Wingdings" w:hAnsi="Wingdings" w:hint="default"/>
      </w:rPr>
    </w:lvl>
    <w:lvl w:ilvl="3" w:tplc="70A295D8" w:tentative="1">
      <w:start w:val="1"/>
      <w:numFmt w:val="bullet"/>
      <w:lvlText w:val=""/>
      <w:lvlJc w:val="left"/>
      <w:pPr>
        <w:ind w:left="2880" w:hanging="360"/>
      </w:pPr>
      <w:rPr>
        <w:rFonts w:ascii="Symbol" w:hAnsi="Symbol" w:hint="default"/>
      </w:rPr>
    </w:lvl>
    <w:lvl w:ilvl="4" w:tplc="1A9652B8" w:tentative="1">
      <w:start w:val="1"/>
      <w:numFmt w:val="bullet"/>
      <w:lvlText w:val="o"/>
      <w:lvlJc w:val="left"/>
      <w:pPr>
        <w:ind w:left="3600" w:hanging="360"/>
      </w:pPr>
      <w:rPr>
        <w:rFonts w:ascii="Courier New" w:hAnsi="Courier New" w:cs="Courier New" w:hint="default"/>
      </w:rPr>
    </w:lvl>
    <w:lvl w:ilvl="5" w:tplc="BC0C8C60" w:tentative="1">
      <w:start w:val="1"/>
      <w:numFmt w:val="bullet"/>
      <w:lvlText w:val=""/>
      <w:lvlJc w:val="left"/>
      <w:pPr>
        <w:ind w:left="4320" w:hanging="360"/>
      </w:pPr>
      <w:rPr>
        <w:rFonts w:ascii="Wingdings" w:hAnsi="Wingdings" w:hint="default"/>
      </w:rPr>
    </w:lvl>
    <w:lvl w:ilvl="6" w:tplc="A596EECC" w:tentative="1">
      <w:start w:val="1"/>
      <w:numFmt w:val="bullet"/>
      <w:lvlText w:val=""/>
      <w:lvlJc w:val="left"/>
      <w:pPr>
        <w:ind w:left="5040" w:hanging="360"/>
      </w:pPr>
      <w:rPr>
        <w:rFonts w:ascii="Symbol" w:hAnsi="Symbol" w:hint="default"/>
      </w:rPr>
    </w:lvl>
    <w:lvl w:ilvl="7" w:tplc="A6685220" w:tentative="1">
      <w:start w:val="1"/>
      <w:numFmt w:val="bullet"/>
      <w:lvlText w:val="o"/>
      <w:lvlJc w:val="left"/>
      <w:pPr>
        <w:ind w:left="5760" w:hanging="360"/>
      </w:pPr>
      <w:rPr>
        <w:rFonts w:ascii="Courier New" w:hAnsi="Courier New" w:cs="Courier New" w:hint="default"/>
      </w:rPr>
    </w:lvl>
    <w:lvl w:ilvl="8" w:tplc="21E2498A" w:tentative="1">
      <w:start w:val="1"/>
      <w:numFmt w:val="bullet"/>
      <w:lvlText w:val=""/>
      <w:lvlJc w:val="left"/>
      <w:pPr>
        <w:ind w:left="6480" w:hanging="360"/>
      </w:pPr>
      <w:rPr>
        <w:rFonts w:ascii="Wingdings" w:hAnsi="Wingdings" w:hint="default"/>
      </w:rPr>
    </w:lvl>
  </w:abstractNum>
  <w:abstractNum w:abstractNumId="5" w15:restartNumberingAfterBreak="0">
    <w:nsid w:val="7D4B7AE6"/>
    <w:multiLevelType w:val="hybridMultilevel"/>
    <w:tmpl w:val="171CE67E"/>
    <w:lvl w:ilvl="0" w:tplc="D5B623F2">
      <w:start w:val="1"/>
      <w:numFmt w:val="bullet"/>
      <w:lvlText w:val=""/>
      <w:lvlJc w:val="left"/>
      <w:pPr>
        <w:tabs>
          <w:tab w:val="num" w:pos="720"/>
        </w:tabs>
        <w:ind w:left="720" w:hanging="360"/>
      </w:pPr>
      <w:rPr>
        <w:rFonts w:ascii="Symbol" w:hAnsi="Symbol" w:hint="default"/>
      </w:rPr>
    </w:lvl>
    <w:lvl w:ilvl="1" w:tplc="71460BDE" w:tentative="1">
      <w:start w:val="1"/>
      <w:numFmt w:val="bullet"/>
      <w:lvlText w:val="o"/>
      <w:lvlJc w:val="left"/>
      <w:pPr>
        <w:ind w:left="1440" w:hanging="360"/>
      </w:pPr>
      <w:rPr>
        <w:rFonts w:ascii="Courier New" w:hAnsi="Courier New" w:cs="Courier New" w:hint="default"/>
      </w:rPr>
    </w:lvl>
    <w:lvl w:ilvl="2" w:tplc="951CB742" w:tentative="1">
      <w:start w:val="1"/>
      <w:numFmt w:val="bullet"/>
      <w:lvlText w:val=""/>
      <w:lvlJc w:val="left"/>
      <w:pPr>
        <w:ind w:left="2160" w:hanging="360"/>
      </w:pPr>
      <w:rPr>
        <w:rFonts w:ascii="Wingdings" w:hAnsi="Wingdings" w:hint="default"/>
      </w:rPr>
    </w:lvl>
    <w:lvl w:ilvl="3" w:tplc="131A37D2" w:tentative="1">
      <w:start w:val="1"/>
      <w:numFmt w:val="bullet"/>
      <w:lvlText w:val=""/>
      <w:lvlJc w:val="left"/>
      <w:pPr>
        <w:ind w:left="2880" w:hanging="360"/>
      </w:pPr>
      <w:rPr>
        <w:rFonts w:ascii="Symbol" w:hAnsi="Symbol" w:hint="default"/>
      </w:rPr>
    </w:lvl>
    <w:lvl w:ilvl="4" w:tplc="DA048E16" w:tentative="1">
      <w:start w:val="1"/>
      <w:numFmt w:val="bullet"/>
      <w:lvlText w:val="o"/>
      <w:lvlJc w:val="left"/>
      <w:pPr>
        <w:ind w:left="3600" w:hanging="360"/>
      </w:pPr>
      <w:rPr>
        <w:rFonts w:ascii="Courier New" w:hAnsi="Courier New" w:cs="Courier New" w:hint="default"/>
      </w:rPr>
    </w:lvl>
    <w:lvl w:ilvl="5" w:tplc="59D0E156" w:tentative="1">
      <w:start w:val="1"/>
      <w:numFmt w:val="bullet"/>
      <w:lvlText w:val=""/>
      <w:lvlJc w:val="left"/>
      <w:pPr>
        <w:ind w:left="4320" w:hanging="360"/>
      </w:pPr>
      <w:rPr>
        <w:rFonts w:ascii="Wingdings" w:hAnsi="Wingdings" w:hint="default"/>
      </w:rPr>
    </w:lvl>
    <w:lvl w:ilvl="6" w:tplc="2938A4D0" w:tentative="1">
      <w:start w:val="1"/>
      <w:numFmt w:val="bullet"/>
      <w:lvlText w:val=""/>
      <w:lvlJc w:val="left"/>
      <w:pPr>
        <w:ind w:left="5040" w:hanging="360"/>
      </w:pPr>
      <w:rPr>
        <w:rFonts w:ascii="Symbol" w:hAnsi="Symbol" w:hint="default"/>
      </w:rPr>
    </w:lvl>
    <w:lvl w:ilvl="7" w:tplc="289EA76A" w:tentative="1">
      <w:start w:val="1"/>
      <w:numFmt w:val="bullet"/>
      <w:lvlText w:val="o"/>
      <w:lvlJc w:val="left"/>
      <w:pPr>
        <w:ind w:left="5760" w:hanging="360"/>
      </w:pPr>
      <w:rPr>
        <w:rFonts w:ascii="Courier New" w:hAnsi="Courier New" w:cs="Courier New" w:hint="default"/>
      </w:rPr>
    </w:lvl>
    <w:lvl w:ilvl="8" w:tplc="F932891A" w:tentative="1">
      <w:start w:val="1"/>
      <w:numFmt w:val="bullet"/>
      <w:lvlText w:val=""/>
      <w:lvlJc w:val="left"/>
      <w:pPr>
        <w:ind w:left="6480" w:hanging="360"/>
      </w:pPr>
      <w:rPr>
        <w:rFonts w:ascii="Wingdings" w:hAnsi="Wingdings" w:hint="default"/>
      </w:rPr>
    </w:lvl>
  </w:abstractNum>
  <w:num w:numId="1" w16cid:durableId="1253666946">
    <w:abstractNumId w:val="3"/>
  </w:num>
  <w:num w:numId="2" w16cid:durableId="1222406096">
    <w:abstractNumId w:val="0"/>
  </w:num>
  <w:num w:numId="3" w16cid:durableId="913777441">
    <w:abstractNumId w:val="4"/>
  </w:num>
  <w:num w:numId="4" w16cid:durableId="709649999">
    <w:abstractNumId w:val="1"/>
  </w:num>
  <w:num w:numId="5" w16cid:durableId="992878718">
    <w:abstractNumId w:val="2"/>
  </w:num>
  <w:num w:numId="6" w16cid:durableId="1476490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5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423D"/>
    <w:rsid w:val="0004512B"/>
    <w:rsid w:val="000463F0"/>
    <w:rsid w:val="00046BDA"/>
    <w:rsid w:val="0004762E"/>
    <w:rsid w:val="00052C34"/>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184E"/>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16E3C"/>
    <w:rsid w:val="00120797"/>
    <w:rsid w:val="001218D2"/>
    <w:rsid w:val="0012371B"/>
    <w:rsid w:val="001245C8"/>
    <w:rsid w:val="00124653"/>
    <w:rsid w:val="001247C5"/>
    <w:rsid w:val="00127893"/>
    <w:rsid w:val="001312BB"/>
    <w:rsid w:val="00137D90"/>
    <w:rsid w:val="00141DB1"/>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ACB"/>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CFC"/>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56D4"/>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51D9"/>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111D"/>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310E"/>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171B"/>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32F5"/>
    <w:rsid w:val="006D504F"/>
    <w:rsid w:val="006D7404"/>
    <w:rsid w:val="006E0CAC"/>
    <w:rsid w:val="006E1CFB"/>
    <w:rsid w:val="006E1F94"/>
    <w:rsid w:val="006E26C1"/>
    <w:rsid w:val="006E30A8"/>
    <w:rsid w:val="006E45B0"/>
    <w:rsid w:val="006E5692"/>
    <w:rsid w:val="006F365D"/>
    <w:rsid w:val="006F4BB0"/>
    <w:rsid w:val="00701E8F"/>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4AA8"/>
    <w:rsid w:val="007A5466"/>
    <w:rsid w:val="007A7EC1"/>
    <w:rsid w:val="007B4FCA"/>
    <w:rsid w:val="007B7B85"/>
    <w:rsid w:val="007C462E"/>
    <w:rsid w:val="007C496B"/>
    <w:rsid w:val="007C6803"/>
    <w:rsid w:val="007D2892"/>
    <w:rsid w:val="007D2DCC"/>
    <w:rsid w:val="007D47E1"/>
    <w:rsid w:val="007D7FCB"/>
    <w:rsid w:val="007E33B6"/>
    <w:rsid w:val="007E59E8"/>
    <w:rsid w:val="007E639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05B4"/>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070E"/>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7B38"/>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E71DF"/>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356"/>
    <w:rsid w:val="00B30647"/>
    <w:rsid w:val="00B31F0E"/>
    <w:rsid w:val="00B34F25"/>
    <w:rsid w:val="00B43672"/>
    <w:rsid w:val="00B473D8"/>
    <w:rsid w:val="00B5165A"/>
    <w:rsid w:val="00B52384"/>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F2A"/>
    <w:rsid w:val="00BA5CAB"/>
    <w:rsid w:val="00BB1673"/>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256"/>
    <w:rsid w:val="00CD4F2C"/>
    <w:rsid w:val="00CD731C"/>
    <w:rsid w:val="00CE08E8"/>
    <w:rsid w:val="00CE2133"/>
    <w:rsid w:val="00CE245D"/>
    <w:rsid w:val="00CE300F"/>
    <w:rsid w:val="00CE3582"/>
    <w:rsid w:val="00CE3795"/>
    <w:rsid w:val="00CE3E20"/>
    <w:rsid w:val="00CF0A74"/>
    <w:rsid w:val="00CF4827"/>
    <w:rsid w:val="00CF4C69"/>
    <w:rsid w:val="00CF581C"/>
    <w:rsid w:val="00CF71E0"/>
    <w:rsid w:val="00D001B1"/>
    <w:rsid w:val="00D020B7"/>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903"/>
    <w:rsid w:val="00D66BA6"/>
    <w:rsid w:val="00D700B1"/>
    <w:rsid w:val="00D730FA"/>
    <w:rsid w:val="00D76631"/>
    <w:rsid w:val="00D768B7"/>
    <w:rsid w:val="00D77492"/>
    <w:rsid w:val="00D811E8"/>
    <w:rsid w:val="00D81A44"/>
    <w:rsid w:val="00D81CC2"/>
    <w:rsid w:val="00D83072"/>
    <w:rsid w:val="00D83ABC"/>
    <w:rsid w:val="00D84870"/>
    <w:rsid w:val="00D91B92"/>
    <w:rsid w:val="00D926B3"/>
    <w:rsid w:val="00D92F63"/>
    <w:rsid w:val="00D947B6"/>
    <w:rsid w:val="00D94A53"/>
    <w:rsid w:val="00D96155"/>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E76C6"/>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6E9C"/>
    <w:rsid w:val="00E876E3"/>
    <w:rsid w:val="00E87A99"/>
    <w:rsid w:val="00E90702"/>
    <w:rsid w:val="00E9241E"/>
    <w:rsid w:val="00E93DEF"/>
    <w:rsid w:val="00E94153"/>
    <w:rsid w:val="00E947B1"/>
    <w:rsid w:val="00E96852"/>
    <w:rsid w:val="00E97D5D"/>
    <w:rsid w:val="00EA16AC"/>
    <w:rsid w:val="00EA385A"/>
    <w:rsid w:val="00EA3931"/>
    <w:rsid w:val="00EA4185"/>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449"/>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873"/>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F21C98-06CC-41E7-A7D2-17277C84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7A4AA8"/>
    <w:rPr>
      <w:sz w:val="16"/>
      <w:szCs w:val="16"/>
    </w:rPr>
  </w:style>
  <w:style w:type="paragraph" w:styleId="CommentText">
    <w:name w:val="annotation text"/>
    <w:basedOn w:val="Normal"/>
    <w:link w:val="CommentTextChar"/>
    <w:semiHidden/>
    <w:unhideWhenUsed/>
    <w:rsid w:val="007A4AA8"/>
    <w:rPr>
      <w:sz w:val="20"/>
      <w:szCs w:val="20"/>
    </w:rPr>
  </w:style>
  <w:style w:type="character" w:customStyle="1" w:styleId="CommentTextChar">
    <w:name w:val="Comment Text Char"/>
    <w:basedOn w:val="DefaultParagraphFont"/>
    <w:link w:val="CommentText"/>
    <w:semiHidden/>
    <w:rsid w:val="007A4AA8"/>
  </w:style>
  <w:style w:type="paragraph" w:styleId="CommentSubject">
    <w:name w:val="annotation subject"/>
    <w:basedOn w:val="CommentText"/>
    <w:next w:val="CommentText"/>
    <w:link w:val="CommentSubjectChar"/>
    <w:semiHidden/>
    <w:unhideWhenUsed/>
    <w:rsid w:val="007A4AA8"/>
    <w:rPr>
      <w:b/>
      <w:bCs/>
    </w:rPr>
  </w:style>
  <w:style w:type="character" w:customStyle="1" w:styleId="CommentSubjectChar">
    <w:name w:val="Comment Subject Char"/>
    <w:basedOn w:val="CommentTextChar"/>
    <w:link w:val="CommentSubject"/>
    <w:semiHidden/>
    <w:rsid w:val="007A4AA8"/>
    <w:rPr>
      <w:b/>
      <w:bCs/>
    </w:rPr>
  </w:style>
  <w:style w:type="paragraph" w:styleId="Revision">
    <w:name w:val="Revision"/>
    <w:hidden/>
    <w:uiPriority w:val="99"/>
    <w:semiHidden/>
    <w:rsid w:val="00D66903"/>
    <w:rPr>
      <w:sz w:val="24"/>
      <w:szCs w:val="24"/>
    </w:rPr>
  </w:style>
  <w:style w:type="paragraph" w:styleId="ListParagraph">
    <w:name w:val="List Paragraph"/>
    <w:basedOn w:val="Normal"/>
    <w:uiPriority w:val="34"/>
    <w:qFormat/>
    <w:rsid w:val="000A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4502</Characters>
  <Application>Microsoft Office Word</Application>
  <DocSecurity>4</DocSecurity>
  <Lines>98</Lines>
  <Paragraphs>29</Paragraphs>
  <ScaleCrop>false</ScaleCrop>
  <HeadingPairs>
    <vt:vector size="2" baseType="variant">
      <vt:variant>
        <vt:lpstr>Title</vt:lpstr>
      </vt:variant>
      <vt:variant>
        <vt:i4>1</vt:i4>
      </vt:variant>
    </vt:vector>
  </HeadingPairs>
  <TitlesOfParts>
    <vt:vector size="1" baseType="lpstr">
      <vt:lpstr>BA - SB01929 (Committee Report (Substituted))</vt:lpstr>
    </vt:vector>
  </TitlesOfParts>
  <Company>State of Texas</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28648</dc:subject>
  <dc:creator>State of Texas</dc:creator>
  <dc:description>SB 1929 by Johnson-(H)State Affairs (Substitute Document Number: 88R 28177)</dc:description>
  <cp:lastModifiedBy>Damian Duarte</cp:lastModifiedBy>
  <cp:revision>2</cp:revision>
  <cp:lastPrinted>2003-11-26T17:21:00Z</cp:lastPrinted>
  <dcterms:created xsi:type="dcterms:W3CDTF">2023-05-16T20:58:00Z</dcterms:created>
  <dcterms:modified xsi:type="dcterms:W3CDTF">2023-05-16T20:58:00Z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23.126.1254</vt:lpwstr>
  </property>
</Properties>
</file>