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3111" w14:paraId="6CE08F93" w14:textId="77777777" w:rsidTr="00345119">
        <w:tc>
          <w:tcPr>
            <w:tcW w:w="9576" w:type="dxa"/>
            <w:noWrap/>
          </w:tcPr>
          <w:p w14:paraId="569D555C" w14:textId="77777777" w:rsidR="008423E4" w:rsidRPr="0022177D" w:rsidRDefault="00302EFA" w:rsidP="00DD690C">
            <w:pPr>
              <w:pStyle w:val="Heading1"/>
            </w:pPr>
            <w:r w:rsidRPr="00631897">
              <w:t>BILL ANALYSIS</w:t>
            </w:r>
          </w:p>
        </w:tc>
      </w:tr>
    </w:tbl>
    <w:p w14:paraId="7DF0DC7B" w14:textId="77777777" w:rsidR="008423E4" w:rsidRPr="0022177D" w:rsidRDefault="008423E4" w:rsidP="00DD690C">
      <w:pPr>
        <w:jc w:val="center"/>
      </w:pPr>
    </w:p>
    <w:p w14:paraId="1C47520C" w14:textId="77777777" w:rsidR="008423E4" w:rsidRPr="00B31F0E" w:rsidRDefault="008423E4" w:rsidP="00DD690C"/>
    <w:p w14:paraId="77235778" w14:textId="77777777" w:rsidR="008423E4" w:rsidRPr="00742794" w:rsidRDefault="008423E4" w:rsidP="00DD690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3111" w14:paraId="18C5CC00" w14:textId="77777777" w:rsidTr="00345119">
        <w:tc>
          <w:tcPr>
            <w:tcW w:w="9576" w:type="dxa"/>
          </w:tcPr>
          <w:p w14:paraId="21DF90E1" w14:textId="16F122B2" w:rsidR="008423E4" w:rsidRPr="00861995" w:rsidRDefault="00302EFA" w:rsidP="00DD690C">
            <w:pPr>
              <w:jc w:val="right"/>
            </w:pPr>
            <w:r>
              <w:t>S.B. 2016</w:t>
            </w:r>
          </w:p>
        </w:tc>
      </w:tr>
      <w:tr w:rsidR="00163111" w14:paraId="02F1CD92" w14:textId="77777777" w:rsidTr="00345119">
        <w:tc>
          <w:tcPr>
            <w:tcW w:w="9576" w:type="dxa"/>
          </w:tcPr>
          <w:p w14:paraId="772FE1AE" w14:textId="77F5ABFB" w:rsidR="008423E4" w:rsidRPr="00861995" w:rsidRDefault="00302EFA" w:rsidP="00DD690C">
            <w:pPr>
              <w:jc w:val="right"/>
            </w:pPr>
            <w:r>
              <w:t xml:space="preserve">By: </w:t>
            </w:r>
            <w:r w:rsidR="00DF7D2A">
              <w:t>Zaffirini</w:t>
            </w:r>
          </w:p>
        </w:tc>
      </w:tr>
      <w:tr w:rsidR="00163111" w14:paraId="5F349A20" w14:textId="77777777" w:rsidTr="00345119">
        <w:tc>
          <w:tcPr>
            <w:tcW w:w="9576" w:type="dxa"/>
          </w:tcPr>
          <w:p w14:paraId="1168092C" w14:textId="2E57F1ED" w:rsidR="008423E4" w:rsidRPr="00861995" w:rsidRDefault="00302EFA" w:rsidP="00DD690C">
            <w:pPr>
              <w:jc w:val="right"/>
            </w:pPr>
            <w:r>
              <w:t>Licensing &amp; Administrative Procedures</w:t>
            </w:r>
          </w:p>
        </w:tc>
      </w:tr>
      <w:tr w:rsidR="00163111" w14:paraId="0FB8EBB8" w14:textId="77777777" w:rsidTr="00345119">
        <w:tc>
          <w:tcPr>
            <w:tcW w:w="9576" w:type="dxa"/>
          </w:tcPr>
          <w:p w14:paraId="0009B6DD" w14:textId="45A587F4" w:rsidR="008423E4" w:rsidRDefault="00302EFA" w:rsidP="00DD690C">
            <w:pPr>
              <w:jc w:val="right"/>
            </w:pPr>
            <w:r>
              <w:t>Committee Report (Unamended)</w:t>
            </w:r>
          </w:p>
        </w:tc>
      </w:tr>
    </w:tbl>
    <w:p w14:paraId="4437A47F" w14:textId="77777777" w:rsidR="008423E4" w:rsidRDefault="008423E4" w:rsidP="00DD690C">
      <w:pPr>
        <w:tabs>
          <w:tab w:val="right" w:pos="9360"/>
        </w:tabs>
      </w:pPr>
    </w:p>
    <w:p w14:paraId="25AE7B8B" w14:textId="77777777" w:rsidR="008423E4" w:rsidRDefault="008423E4" w:rsidP="00DD690C"/>
    <w:p w14:paraId="31C637DF" w14:textId="77777777" w:rsidR="008423E4" w:rsidRDefault="008423E4" w:rsidP="00DD690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3111" w14:paraId="7D44D866" w14:textId="77777777" w:rsidTr="00345119">
        <w:tc>
          <w:tcPr>
            <w:tcW w:w="9576" w:type="dxa"/>
          </w:tcPr>
          <w:p w14:paraId="1C5A3E94" w14:textId="77777777" w:rsidR="008423E4" w:rsidRPr="00A8133F" w:rsidRDefault="00302EFA" w:rsidP="00DD690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1F8211" w14:textId="77777777" w:rsidR="008423E4" w:rsidRDefault="008423E4" w:rsidP="00DD690C"/>
          <w:p w14:paraId="4CCD98E5" w14:textId="5253AFA2" w:rsidR="008423E4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the Texas Department of Licensing and Regulation only accepts the </w:t>
            </w:r>
            <w:r w:rsidR="002D0273">
              <w:t>r</w:t>
            </w:r>
            <w:r>
              <w:t xml:space="preserve">egistration </w:t>
            </w:r>
            <w:r w:rsidR="002D0273">
              <w:t>e</w:t>
            </w:r>
            <w:r>
              <w:t xml:space="preserve">xamination for </w:t>
            </w:r>
            <w:r w:rsidR="002D0273">
              <w:t>d</w:t>
            </w:r>
            <w:r>
              <w:t>ietitians offered by the Commission on Dietetic Registration (CDR) for licensure. CDR is the primary national certification organization, and its exa</w:t>
            </w:r>
            <w:r>
              <w:t xml:space="preserve">m is the current national standard. Effective January 1, 2024, CDR </w:t>
            </w:r>
            <w:r w:rsidR="00532AD2">
              <w:t>will</w:t>
            </w:r>
            <w:r>
              <w:t xml:space="preserve"> require applicants to hold at least a </w:t>
            </w:r>
            <w:r w:rsidR="00532AD2">
              <w:t>graduate-level</w:t>
            </w:r>
            <w:r>
              <w:t xml:space="preserve"> degree</w:t>
            </w:r>
            <w:r w:rsidR="00532AD2">
              <w:t xml:space="preserve"> as a prerequisite to take the examination</w:t>
            </w:r>
            <w:r>
              <w:t>. Texas law, however, allows applicants to obtain a baccalaureate or post-baccalaur</w:t>
            </w:r>
            <w:r>
              <w:t xml:space="preserve">eate degree. S.B. 2016 would update existing laws to align with national standards, ensuring applicants are not confused about the examination requirements and can ultimately become licensed. </w:t>
            </w:r>
          </w:p>
          <w:p w14:paraId="066F776A" w14:textId="77777777" w:rsidR="008423E4" w:rsidRPr="00E26B13" w:rsidRDefault="008423E4" w:rsidP="00DD690C">
            <w:pPr>
              <w:rPr>
                <w:b/>
              </w:rPr>
            </w:pPr>
          </w:p>
        </w:tc>
      </w:tr>
      <w:tr w:rsidR="00163111" w14:paraId="69AAAE3D" w14:textId="77777777" w:rsidTr="00345119">
        <w:tc>
          <w:tcPr>
            <w:tcW w:w="9576" w:type="dxa"/>
          </w:tcPr>
          <w:p w14:paraId="552EB86A" w14:textId="77777777" w:rsidR="0017725B" w:rsidRDefault="00302EFA" w:rsidP="00DD69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65A1FB" w14:textId="77777777" w:rsidR="0017725B" w:rsidRDefault="0017725B" w:rsidP="00DD690C">
            <w:pPr>
              <w:rPr>
                <w:b/>
                <w:u w:val="single"/>
              </w:rPr>
            </w:pPr>
          </w:p>
          <w:p w14:paraId="378D7D12" w14:textId="4A03E2B8" w:rsidR="00B510AD" w:rsidRPr="00B510AD" w:rsidRDefault="00302EFA" w:rsidP="00DD690C">
            <w:pPr>
              <w:jc w:val="both"/>
            </w:pPr>
            <w:r>
              <w:t>It is the committee's opinion that t</w:t>
            </w:r>
            <w:r>
              <w:t>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19203DA" w14:textId="77777777" w:rsidR="0017725B" w:rsidRPr="0017725B" w:rsidRDefault="0017725B" w:rsidP="00DD690C">
            <w:pPr>
              <w:rPr>
                <w:b/>
                <w:u w:val="single"/>
              </w:rPr>
            </w:pPr>
          </w:p>
        </w:tc>
      </w:tr>
      <w:tr w:rsidR="00163111" w14:paraId="0B14879B" w14:textId="77777777" w:rsidTr="00345119">
        <w:tc>
          <w:tcPr>
            <w:tcW w:w="9576" w:type="dxa"/>
          </w:tcPr>
          <w:p w14:paraId="53EB5784" w14:textId="77777777" w:rsidR="008423E4" w:rsidRPr="00A8133F" w:rsidRDefault="00302EFA" w:rsidP="00DD690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</w:t>
            </w:r>
            <w:r w:rsidRPr="009C1E9A">
              <w:rPr>
                <w:b/>
                <w:u w:val="single"/>
              </w:rPr>
              <w:t>TY</w:t>
            </w:r>
            <w:r>
              <w:rPr>
                <w:b/>
              </w:rPr>
              <w:t xml:space="preserve"> </w:t>
            </w:r>
          </w:p>
          <w:p w14:paraId="06893860" w14:textId="77777777" w:rsidR="008423E4" w:rsidRDefault="008423E4" w:rsidP="00DD690C"/>
          <w:p w14:paraId="75ADCC01" w14:textId="27782F03" w:rsidR="00B510AD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1B1BFB6" w14:textId="77777777" w:rsidR="008423E4" w:rsidRPr="00E21FDC" w:rsidRDefault="008423E4" w:rsidP="00DD690C">
            <w:pPr>
              <w:rPr>
                <w:b/>
              </w:rPr>
            </w:pPr>
          </w:p>
        </w:tc>
      </w:tr>
      <w:tr w:rsidR="00163111" w14:paraId="6FCF5205" w14:textId="77777777" w:rsidTr="00345119">
        <w:tc>
          <w:tcPr>
            <w:tcW w:w="9576" w:type="dxa"/>
          </w:tcPr>
          <w:p w14:paraId="2DA2FAA9" w14:textId="77777777" w:rsidR="008423E4" w:rsidRPr="00A8133F" w:rsidRDefault="00302EFA" w:rsidP="00DD690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76E575" w14:textId="7E942ECC" w:rsidR="008423E4" w:rsidRDefault="008423E4" w:rsidP="00DD690C"/>
          <w:p w14:paraId="5E4229FE" w14:textId="7CE3802D" w:rsidR="007E6C33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2016 </w:t>
            </w:r>
            <w:r w:rsidR="00452324">
              <w:t>repeals</w:t>
            </w:r>
            <w:r w:rsidR="00ED4803">
              <w:t xml:space="preserve"> </w:t>
            </w:r>
            <w:r w:rsidR="00380372">
              <w:t>Occupations Code</w:t>
            </w:r>
            <w:r w:rsidR="00452324">
              <w:t xml:space="preserve"> provisions </w:t>
            </w:r>
            <w:r w:rsidR="00ED4803">
              <w:t xml:space="preserve">regarding </w:t>
            </w:r>
            <w:r w:rsidR="00452324">
              <w:t>license examination requirements</w:t>
            </w:r>
            <w:r w:rsidR="00ED4803">
              <w:t xml:space="preserve"> </w:t>
            </w:r>
            <w:r w:rsidR="008E5105">
              <w:t>for dieti</w:t>
            </w:r>
            <w:r w:rsidR="00580420">
              <w:t>t</w:t>
            </w:r>
            <w:r w:rsidR="008E5105">
              <w:t xml:space="preserve">ians </w:t>
            </w:r>
            <w:r w:rsidR="00ED4803">
              <w:t>and</w:t>
            </w:r>
            <w:r w:rsidR="00452324">
              <w:t xml:space="preserve"> </w:t>
            </w:r>
            <w:r w:rsidR="008E5105">
              <w:t xml:space="preserve">the </w:t>
            </w:r>
            <w:r w:rsidR="00452324">
              <w:t xml:space="preserve">qualifications for </w:t>
            </w:r>
            <w:r w:rsidR="008E5105">
              <w:t xml:space="preserve">such </w:t>
            </w:r>
            <w:r w:rsidR="00ED4803">
              <w:t xml:space="preserve">an </w:t>
            </w:r>
            <w:r w:rsidR="00452324">
              <w:t>examination</w:t>
            </w:r>
            <w:r w:rsidR="00ED4803">
              <w:t xml:space="preserve"> and</w:t>
            </w:r>
            <w:r w:rsidR="00452324">
              <w:t xml:space="preserve"> </w:t>
            </w:r>
            <w:r>
              <w:t xml:space="preserve">amends the </w:t>
            </w:r>
            <w:r w:rsidRPr="00B510AD">
              <w:t>Occupations Code</w:t>
            </w:r>
            <w:r>
              <w:t xml:space="preserve"> to</w:t>
            </w:r>
            <w:r w:rsidR="00ED4803">
              <w:t xml:space="preserve"> </w:t>
            </w:r>
            <w:r>
              <w:t xml:space="preserve">require </w:t>
            </w:r>
            <w:r w:rsidR="00380372">
              <w:t xml:space="preserve">instead </w:t>
            </w:r>
            <w:r>
              <w:t xml:space="preserve">an applicant for a dietitian license to provide evidence satisfactory to the </w:t>
            </w:r>
            <w:r w:rsidRPr="007E6C33">
              <w:t>Texas Department of Licensing and Regulat</w:t>
            </w:r>
            <w:r w:rsidRPr="007E6C33">
              <w:t>ion</w:t>
            </w:r>
            <w:r>
              <w:t xml:space="preserve"> (TDLR) that the applicant</w:t>
            </w:r>
            <w:r w:rsidR="00532AD2">
              <w:t xml:space="preserve"> meets the</w:t>
            </w:r>
            <w:r>
              <w:t xml:space="preserve"> follow</w:t>
            </w:r>
            <w:r w:rsidR="00532AD2">
              <w:t>ing criteria</w:t>
            </w:r>
            <w:r>
              <w:t>:</w:t>
            </w:r>
          </w:p>
          <w:p w14:paraId="28811AF3" w14:textId="69B3EF69" w:rsidR="007E6C33" w:rsidRDefault="00302EFA" w:rsidP="00DD690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a registered dietitian or </w:t>
            </w:r>
            <w:r w:rsidRPr="007E6C33">
              <w:t>registered dietitian nutritionist;</w:t>
            </w:r>
          </w:p>
          <w:p w14:paraId="7D0D6562" w14:textId="4100A4E2" w:rsidR="007E6C33" w:rsidRDefault="00302EFA" w:rsidP="00DD690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has met the following education and experience requirements:</w:t>
            </w:r>
          </w:p>
          <w:p w14:paraId="50C2463F" w14:textId="6E557A74" w:rsidR="007E6C33" w:rsidRDefault="00302EFA" w:rsidP="00DD690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possesses at least a master's degree, accepted by the certifying entity</w:t>
            </w:r>
            <w:r w:rsidRPr="007E6C33">
              <w:t xml:space="preserve">, conferred by a regionally accredited college or university under an accredited program that is recognized by the </w:t>
            </w:r>
            <w:r w:rsidR="00532AD2">
              <w:t>U.S.</w:t>
            </w:r>
            <w:r w:rsidRPr="007E6C33">
              <w:t xml:space="preserve"> Secretary of Education under the </w:t>
            </w:r>
            <w:r w:rsidR="00532AD2">
              <w:t xml:space="preserve">federal </w:t>
            </w:r>
            <w:r w:rsidRPr="007E6C33">
              <w:t>Higher Education Act of 1965; and</w:t>
            </w:r>
          </w:p>
          <w:p w14:paraId="6CC677A3" w14:textId="3A657FB6" w:rsidR="007E6C33" w:rsidRDefault="00302EFA" w:rsidP="00DD690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has completed an internship, didactic program, or other super</w:t>
            </w:r>
            <w:r w:rsidRPr="007E6C33">
              <w:t>vised experience or practice program in dietetics practice that is accepted by the certifying entity and is accredited by a body recognized by the U</w:t>
            </w:r>
            <w:r>
              <w:t>.</w:t>
            </w:r>
            <w:r w:rsidRPr="007E6C33">
              <w:t>S</w:t>
            </w:r>
            <w:r>
              <w:t>.</w:t>
            </w:r>
            <w:r w:rsidRPr="007E6C33">
              <w:t xml:space="preserve"> Secretary of Education under th</w:t>
            </w:r>
            <w:r w:rsidR="00532AD2">
              <w:t>at federal law</w:t>
            </w:r>
            <w:r w:rsidRPr="007E6C33">
              <w:t>;</w:t>
            </w:r>
          </w:p>
          <w:p w14:paraId="5D58F2FE" w14:textId="19346BA1" w:rsidR="00FC1712" w:rsidRDefault="00302EFA" w:rsidP="00DD690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has passed the examination given by the applicable certif</w:t>
            </w:r>
            <w:r w:rsidRPr="007E6C33">
              <w:t>ying entity;</w:t>
            </w:r>
          </w:p>
          <w:p w14:paraId="3087F12E" w14:textId="26BF03AE" w:rsidR="00B510AD" w:rsidRDefault="00302EFA" w:rsidP="00DD690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is in compliance with all professional, ethical, and disciplinary standards established by the applicable certifying entity; and</w:t>
            </w:r>
          </w:p>
          <w:p w14:paraId="24622676" w14:textId="1AEE8239" w:rsidR="00B510AD" w:rsidRDefault="00302EFA" w:rsidP="00DD690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E6C33">
              <w:t>is not subject to any disciplinary action by the applicable certifying entity.</w:t>
            </w:r>
          </w:p>
          <w:p w14:paraId="51AF65F0" w14:textId="77777777" w:rsidR="00CB6C8F" w:rsidRDefault="00CB6C8F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725A26" w14:textId="28B585F5" w:rsidR="00AD55E2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2016 </w:t>
            </w:r>
            <w:r w:rsidR="00944905">
              <w:t xml:space="preserve">repeals </w:t>
            </w:r>
            <w:r w:rsidR="00ED4803">
              <w:t>the</w:t>
            </w:r>
            <w:r w:rsidR="00944905">
              <w:t xml:space="preserve"> definition of "Commission on Dietetic Registration" </w:t>
            </w:r>
            <w:r w:rsidR="00ED4803">
              <w:t>and</w:t>
            </w:r>
            <w:r w:rsidR="00AF0931">
              <w:t xml:space="preserve"> </w:t>
            </w:r>
            <w:r w:rsidR="00ED4803">
              <w:t>instead defines</w:t>
            </w:r>
            <w:r w:rsidR="00AF0931">
              <w:t xml:space="preserve"> the </w:t>
            </w:r>
            <w:r>
              <w:t xml:space="preserve">commission as </w:t>
            </w:r>
            <w:r w:rsidRPr="00AD55E2">
              <w:t>the commission that is accredited by the National Commission for Certifying Agencies to issue credentials for the professional practice of dietetics</w:t>
            </w:r>
            <w:r>
              <w:t xml:space="preserve">. </w:t>
            </w:r>
            <w:r w:rsidR="00944905">
              <w:t xml:space="preserve">The bill </w:t>
            </w:r>
            <w:r>
              <w:t xml:space="preserve">further </w:t>
            </w:r>
            <w:r w:rsidR="00944905">
              <w:t xml:space="preserve">defines </w:t>
            </w:r>
            <w:r>
              <w:t>the following terms:</w:t>
            </w:r>
          </w:p>
          <w:p w14:paraId="2A57A95D" w14:textId="5C5F7F45" w:rsidR="00400852" w:rsidRDefault="00302EFA" w:rsidP="00DD690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"certifying entity"</w:t>
            </w:r>
            <w:r w:rsidR="00AF0931">
              <w:t xml:space="preserve"> </w:t>
            </w:r>
            <w:r w:rsidR="00AD55E2">
              <w:t>means</w:t>
            </w:r>
            <w:r w:rsidR="00AF0931">
              <w:t xml:space="preserve"> either the Commission on Dietetic Registration or </w:t>
            </w:r>
            <w:r w:rsidR="00AF0931" w:rsidRPr="00AF0931">
              <w:t xml:space="preserve">another </w:t>
            </w:r>
            <w:r w:rsidR="00AF0931">
              <w:t xml:space="preserve">TDLR-approved </w:t>
            </w:r>
            <w:r w:rsidR="00AF0931" w:rsidRPr="00AF0931">
              <w:t xml:space="preserve">entity that has standards equivalent to the </w:t>
            </w:r>
            <w:r w:rsidR="00AF0931">
              <w:t>Commission on Dietetic Registration's and</w:t>
            </w:r>
            <w:r w:rsidR="00AF0931" w:rsidRPr="00AF0931">
              <w:t xml:space="preserve"> is accredited by the National Commission for Certifying Agencies to issue credentials for the professional practice of dietetics</w:t>
            </w:r>
            <w:r w:rsidR="00AD55E2">
              <w:t>;</w:t>
            </w:r>
          </w:p>
          <w:p w14:paraId="56A25854" w14:textId="48C39487" w:rsidR="00AD55E2" w:rsidRDefault="00302EFA" w:rsidP="00DD690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AD55E2">
              <w:t>"</w:t>
            </w:r>
            <w:r>
              <w:t>r</w:t>
            </w:r>
            <w:r w:rsidRPr="00AD55E2">
              <w:t>egistered dietitian" means a person who is credentialed by a certifying entity as a registered dietitian</w:t>
            </w:r>
            <w:r>
              <w:t>; and</w:t>
            </w:r>
          </w:p>
          <w:p w14:paraId="1225E21A" w14:textId="699C412F" w:rsidR="00AD55E2" w:rsidRDefault="00302EFA" w:rsidP="00DD690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AD55E2">
              <w:t>"</w:t>
            </w:r>
            <w:r>
              <w:t>r</w:t>
            </w:r>
            <w:r w:rsidRPr="00AD55E2">
              <w:t>egistered dietitian nutritionist" means a person who is</w:t>
            </w:r>
            <w:r w:rsidRPr="00AD55E2">
              <w:t xml:space="preserve"> credentialed by a certifying entity as a registered dietitian nutritionist</w:t>
            </w:r>
            <w:r>
              <w:t>.</w:t>
            </w:r>
          </w:p>
          <w:p w14:paraId="6F3E2560" w14:textId="64A1B8ED" w:rsidR="00AD55E2" w:rsidRDefault="00AD55E2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7426B5" w14:textId="44654C9A" w:rsidR="00400852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2016 clarifies that a registered dietitian nutritionist is prohibited from using that title or representing or implying that the person holds that title unless the person is</w:t>
            </w:r>
            <w:r>
              <w:t xml:space="preserve"> a registered dietitian nutritionist in the same manner that a registered </w:t>
            </w:r>
            <w:r w:rsidR="00580420">
              <w:t xml:space="preserve">dietitian </w:t>
            </w:r>
            <w:r>
              <w:t xml:space="preserve">is prohibited from using that title or representing or implying that the person holds that title unless the person is a registered </w:t>
            </w:r>
            <w:r w:rsidR="00580420">
              <w:t>dietitian</w:t>
            </w:r>
            <w:r>
              <w:t>. The bill removes a provisional</w:t>
            </w:r>
            <w:r>
              <w:t xml:space="preserve"> license</w:t>
            </w:r>
            <w:r w:rsidR="00FA4B13">
              <w:t>d</w:t>
            </w:r>
            <w:r>
              <w:t xml:space="preserve"> dietitian as a type of license issued </w:t>
            </w:r>
            <w:r w:rsidR="00E34C46">
              <w:t xml:space="preserve">by TDLR </w:t>
            </w:r>
            <w:r>
              <w:t xml:space="preserve">under provisions relating to dietitians. The bill repeals a provision requiring TDLR to </w:t>
            </w:r>
            <w:r w:rsidRPr="00452324">
              <w:t xml:space="preserve">prepare a registry of licensed dietitians and provisional licensed dietitians and </w:t>
            </w:r>
            <w:r w:rsidR="00380372">
              <w:t xml:space="preserve">to </w:t>
            </w:r>
            <w:r w:rsidRPr="00452324">
              <w:t>make the registry available</w:t>
            </w:r>
            <w:r w:rsidRPr="00452324">
              <w:t xml:space="preserve"> to the public, license holders, and appropriate state agencies.</w:t>
            </w:r>
          </w:p>
          <w:p w14:paraId="314B46D7" w14:textId="77777777" w:rsidR="00AD55E2" w:rsidRDefault="00AD55E2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35201C" w14:textId="7D198725" w:rsidR="0090206F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2016</w:t>
            </w:r>
            <w:r w:rsidR="00DC0B4F">
              <w:t xml:space="preserve"> removes the </w:t>
            </w:r>
            <w:r w:rsidR="00ED4803">
              <w:t>specification that the frequency with which</w:t>
            </w:r>
            <w:r w:rsidR="00DC0B4F">
              <w:t xml:space="preserve"> TDLR </w:t>
            </w:r>
            <w:r w:rsidR="00ED4803">
              <w:t xml:space="preserve">must </w:t>
            </w:r>
            <w:r w:rsidR="00DC0B4F">
              <w:t>develop and administer a jurisprudence examination</w:t>
            </w:r>
            <w:r w:rsidR="00FC1712">
              <w:t xml:space="preserve"> </w:t>
            </w:r>
            <w:r w:rsidR="00DC0B4F">
              <w:t xml:space="preserve">to determine an applicant's knowledge of </w:t>
            </w:r>
            <w:r w:rsidR="00D60C29">
              <w:t>the Licensed Dieti</w:t>
            </w:r>
            <w:r w:rsidR="00580420">
              <w:t>t</w:t>
            </w:r>
            <w:r w:rsidR="00D60C29">
              <w:t>ian Act,</w:t>
            </w:r>
            <w:r w:rsidR="00DC0B4F">
              <w:t xml:space="preserve"> rules</w:t>
            </w:r>
            <w:r w:rsidR="00F17FA7">
              <w:t xml:space="preserve"> of the Texas Commission of Licensing and Regulation</w:t>
            </w:r>
            <w:r w:rsidR="00D60C29">
              <w:t xml:space="preserve"> </w:t>
            </w:r>
            <w:r w:rsidR="00824B28">
              <w:t xml:space="preserve">(TCLR) </w:t>
            </w:r>
            <w:r w:rsidR="00D60C29">
              <w:t>under the act,</w:t>
            </w:r>
            <w:r w:rsidR="00DC0B4F">
              <w:t xml:space="preserve"> and any other applicable </w:t>
            </w:r>
            <w:r w:rsidR="00D60C29">
              <w:t xml:space="preserve">state </w:t>
            </w:r>
            <w:r w:rsidR="00DC0B4F">
              <w:t>laws affecting the applicant's dietetics practice</w:t>
            </w:r>
            <w:r w:rsidR="00D60C29">
              <w:t xml:space="preserve"> is at least twice each calendar year</w:t>
            </w:r>
            <w:r w:rsidR="00DC0B4F">
              <w:t xml:space="preserve">. </w:t>
            </w:r>
          </w:p>
          <w:p w14:paraId="4282A19C" w14:textId="7C6502E6" w:rsidR="0090206F" w:rsidRDefault="0090206F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2D29E4" w14:textId="7C3A09AF" w:rsidR="00FC1712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2016 </w:t>
            </w:r>
            <w:r w:rsidR="001226C8">
              <w:t xml:space="preserve">clarifies that the authority of </w:t>
            </w:r>
            <w:r w:rsidR="0090227E">
              <w:t>TCLR</w:t>
            </w:r>
            <w:r w:rsidR="001226C8">
              <w:t xml:space="preserve"> or TDLR</w:t>
            </w:r>
            <w:r w:rsidR="00B14F96">
              <w:t xml:space="preserve"> to refuse to </w:t>
            </w:r>
            <w:r w:rsidR="00B14F96" w:rsidRPr="00B14F96">
              <w:t>renew the</w:t>
            </w:r>
            <w:r w:rsidR="001226C8">
              <w:t xml:space="preserve"> </w:t>
            </w:r>
            <w:r w:rsidR="00580420">
              <w:t>dietitian</w:t>
            </w:r>
            <w:r w:rsidR="00580420" w:rsidRPr="00B14F96">
              <w:t xml:space="preserve"> </w:t>
            </w:r>
            <w:r w:rsidR="00B14F96" w:rsidRPr="00B14F96">
              <w:t xml:space="preserve">license of a person who fails to pay an administrative penalty </w:t>
            </w:r>
            <w:r w:rsidR="001226C8">
              <w:t xml:space="preserve">is based on the person's failure to pay an administrative penalty </w:t>
            </w:r>
            <w:r w:rsidR="00B14F96" w:rsidRPr="00B14F96">
              <w:t>imposed against the person</w:t>
            </w:r>
            <w:r w:rsidR="00B14F96">
              <w:t xml:space="preserve"> under</w:t>
            </w:r>
            <w:r w:rsidR="001226C8">
              <w:t xml:space="preserve"> statutory provisions providing for </w:t>
            </w:r>
            <w:r w:rsidR="00824B28">
              <w:t xml:space="preserve">the </w:t>
            </w:r>
            <w:r w:rsidR="001226C8">
              <w:t>general authority</w:t>
            </w:r>
            <w:r w:rsidR="00824B28">
              <w:t xml:space="preserve"> of TCLR or the executive director of TDLR</w:t>
            </w:r>
            <w:r w:rsidR="001226C8">
              <w:t xml:space="preserve"> to impose an administrative penalty</w:t>
            </w:r>
            <w:r w:rsidR="00B14F96" w:rsidRPr="00B14F96">
              <w:t>.</w:t>
            </w:r>
            <w:r w:rsidR="0090227E">
              <w:t xml:space="preserve"> The bill repeals a provision requiring t</w:t>
            </w:r>
            <w:r w:rsidR="0090227E" w:rsidRPr="0090227E">
              <w:t xml:space="preserve">he State Office of Administrative Hearings </w:t>
            </w:r>
            <w:r w:rsidR="0090227E">
              <w:t>to</w:t>
            </w:r>
            <w:r w:rsidR="0090227E" w:rsidRPr="0090227E">
              <w:t xml:space="preserve"> use the schedule of sanctions adopted by </w:t>
            </w:r>
            <w:r w:rsidR="0090227E">
              <w:t>TCLR</w:t>
            </w:r>
            <w:r w:rsidR="0090227E" w:rsidRPr="0090227E">
              <w:t xml:space="preserve"> by rule for a sanction imposed as the result of a hearing conducted by the office.</w:t>
            </w:r>
          </w:p>
          <w:p w14:paraId="60E66796" w14:textId="77777777" w:rsidR="00400852" w:rsidRDefault="00400852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0230DF" w14:textId="5992854B" w:rsidR="00B14F96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2016 applies only to an application </w:t>
            </w:r>
            <w:r w:rsidRPr="00A636BF">
              <w:t>for a dietitian lice</w:t>
            </w:r>
            <w:r w:rsidRPr="00A636BF">
              <w:t>nse submitted on or after January 1, 2024.</w:t>
            </w:r>
            <w:r>
              <w:t xml:space="preserve"> The bill authorizes a</w:t>
            </w:r>
            <w:r w:rsidRPr="00A636BF">
              <w:t xml:space="preserve"> person who holds a dietitian license on the </w:t>
            </w:r>
            <w:r>
              <w:t xml:space="preserve">bill's </w:t>
            </w:r>
            <w:r w:rsidRPr="00A636BF">
              <w:t xml:space="preserve">effective date to </w:t>
            </w:r>
            <w:r>
              <w:t xml:space="preserve">continue to </w:t>
            </w:r>
            <w:r w:rsidRPr="00A636BF">
              <w:t xml:space="preserve">renew that license without complying with </w:t>
            </w:r>
            <w:r>
              <w:t>the bill's license qualifications provisions. The bill also authoriz</w:t>
            </w:r>
            <w:r>
              <w:t xml:space="preserve">es a </w:t>
            </w:r>
            <w:r w:rsidRPr="00A636BF">
              <w:t>person who was credentialed as a registered dietitian or registered dietitian nutritionist</w:t>
            </w:r>
            <w:r w:rsidR="00267942">
              <w:t>,</w:t>
            </w:r>
            <w:r w:rsidRPr="00A636BF">
              <w:t xml:space="preserve"> as defined</w:t>
            </w:r>
            <w:r>
              <w:t xml:space="preserve"> </w:t>
            </w:r>
            <w:r w:rsidR="00267942">
              <w:t xml:space="preserve">by the bill, </w:t>
            </w:r>
            <w:r w:rsidRPr="00A636BF">
              <w:t>before January 1, 2024, and who continues to hold that credential</w:t>
            </w:r>
            <w:r>
              <w:t xml:space="preserve"> </w:t>
            </w:r>
            <w:r w:rsidR="00267942">
              <w:t>to apply for a dieti</w:t>
            </w:r>
            <w:r w:rsidR="00580420">
              <w:t>t</w:t>
            </w:r>
            <w:r w:rsidR="00267942">
              <w:t xml:space="preserve">ian license </w:t>
            </w:r>
            <w:r w:rsidRPr="00A636BF">
              <w:t xml:space="preserve">without complying with </w:t>
            </w:r>
            <w:r>
              <w:t xml:space="preserve">the bill's </w:t>
            </w:r>
            <w:r w:rsidR="00267942">
              <w:t>provisions regarding license requirements</w:t>
            </w:r>
            <w:r>
              <w:t>.</w:t>
            </w:r>
          </w:p>
          <w:p w14:paraId="28A7147F" w14:textId="77777777" w:rsidR="00400852" w:rsidRDefault="00400852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3C0C60" w14:textId="346A9036" w:rsidR="00B14F96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2016 repeals the following provisions of the Occupations Code:</w:t>
            </w:r>
          </w:p>
          <w:p w14:paraId="5741F849" w14:textId="09FE5B7E" w:rsidR="00B14F96" w:rsidRDefault="00302EFA" w:rsidP="00DD690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Section 701.002(9);</w:t>
            </w:r>
          </w:p>
          <w:p w14:paraId="3D928792" w14:textId="7E08B1BC" w:rsidR="00B14F96" w:rsidRDefault="00302EFA" w:rsidP="00DD690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Section 701.1511</w:t>
            </w:r>
            <w:r w:rsidR="0091084B">
              <w:t>;</w:t>
            </w:r>
          </w:p>
          <w:p w14:paraId="73EF35DA" w14:textId="01233799" w:rsidR="0091084B" w:rsidRDefault="00302EFA" w:rsidP="00DD690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Section 701.251(a);</w:t>
            </w:r>
          </w:p>
          <w:p w14:paraId="5513133E" w14:textId="2D1C6927" w:rsidR="00B14F96" w:rsidRDefault="00302EFA" w:rsidP="00DD690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Section 701.253</w:t>
            </w:r>
            <w:r w:rsidR="0091084B">
              <w:t>;</w:t>
            </w:r>
          </w:p>
          <w:p w14:paraId="1A7BB6D4" w14:textId="6EEFA93F" w:rsidR="0091084B" w:rsidRDefault="00302EFA" w:rsidP="00DD690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Section 701.254; </w:t>
            </w:r>
          </w:p>
          <w:p w14:paraId="7286A2F0" w14:textId="7B3CCBE5" w:rsidR="00B14F96" w:rsidRDefault="00302EFA" w:rsidP="00DD690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Section 701.403</w:t>
            </w:r>
            <w:r w:rsidR="00A636BF">
              <w:t>; and</w:t>
            </w:r>
          </w:p>
          <w:p w14:paraId="21E55C29" w14:textId="666713B0" w:rsidR="0090206F" w:rsidRDefault="00302EFA" w:rsidP="00DD690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heading to Subchapter K, Cha</w:t>
            </w:r>
            <w:r>
              <w:t>pter 701.</w:t>
            </w:r>
          </w:p>
          <w:p w14:paraId="58D7F498" w14:textId="77777777" w:rsidR="008423E4" w:rsidRPr="00835628" w:rsidRDefault="008423E4" w:rsidP="00DD690C">
            <w:pPr>
              <w:rPr>
                <w:b/>
              </w:rPr>
            </w:pPr>
          </w:p>
        </w:tc>
      </w:tr>
      <w:tr w:rsidR="00163111" w14:paraId="34D8B8AC" w14:textId="77777777" w:rsidTr="00345119">
        <w:tc>
          <w:tcPr>
            <w:tcW w:w="9576" w:type="dxa"/>
          </w:tcPr>
          <w:p w14:paraId="7F8A6BBE" w14:textId="77777777" w:rsidR="008423E4" w:rsidRPr="00A8133F" w:rsidRDefault="00302EFA" w:rsidP="00DD690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5467CF" w14:textId="77777777" w:rsidR="008423E4" w:rsidRDefault="008423E4" w:rsidP="00DD690C"/>
          <w:p w14:paraId="47AF8D9E" w14:textId="6B91C8FB" w:rsidR="008423E4" w:rsidRPr="00233FDB" w:rsidRDefault="00302EFA" w:rsidP="00DD690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793162E4" w14:textId="77777777" w:rsidR="008423E4" w:rsidRPr="00BE0E75" w:rsidRDefault="008423E4" w:rsidP="00DD690C">
      <w:pPr>
        <w:jc w:val="both"/>
        <w:rPr>
          <w:rFonts w:ascii="Arial" w:hAnsi="Arial"/>
          <w:sz w:val="16"/>
          <w:szCs w:val="16"/>
        </w:rPr>
      </w:pPr>
    </w:p>
    <w:p w14:paraId="76ABBECF" w14:textId="77777777" w:rsidR="004108C3" w:rsidRPr="008423E4" w:rsidRDefault="004108C3" w:rsidP="00DD690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35DA" w14:textId="77777777" w:rsidR="00000000" w:rsidRDefault="00302EFA">
      <w:r>
        <w:separator/>
      </w:r>
    </w:p>
  </w:endnote>
  <w:endnote w:type="continuationSeparator" w:id="0">
    <w:p w14:paraId="1A1FC581" w14:textId="77777777" w:rsidR="00000000" w:rsidRDefault="003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53F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3111" w14:paraId="6EAB0B4C" w14:textId="77777777" w:rsidTr="009C1E9A">
      <w:trPr>
        <w:cantSplit/>
      </w:trPr>
      <w:tc>
        <w:tcPr>
          <w:tcW w:w="0" w:type="pct"/>
        </w:tcPr>
        <w:p w14:paraId="7DA4AA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0D7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FE56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481E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D627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111" w14:paraId="1A98002A" w14:textId="77777777" w:rsidTr="009C1E9A">
      <w:trPr>
        <w:cantSplit/>
      </w:trPr>
      <w:tc>
        <w:tcPr>
          <w:tcW w:w="0" w:type="pct"/>
        </w:tcPr>
        <w:p w14:paraId="32DD43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844C97" w14:textId="10A9656E" w:rsidR="00EC379B" w:rsidRPr="009C1E9A" w:rsidRDefault="00302E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30545-D</w:t>
          </w:r>
        </w:p>
      </w:tc>
      <w:tc>
        <w:tcPr>
          <w:tcW w:w="2453" w:type="pct"/>
        </w:tcPr>
        <w:p w14:paraId="077B271C" w14:textId="6F0FC62C" w:rsidR="00EC379B" w:rsidRDefault="00302E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6CCF">
            <w:t>23.135.825</w:t>
          </w:r>
          <w:r>
            <w:fldChar w:fldCharType="end"/>
          </w:r>
        </w:p>
      </w:tc>
    </w:tr>
    <w:tr w:rsidR="00163111" w14:paraId="674FC744" w14:textId="77777777" w:rsidTr="009C1E9A">
      <w:trPr>
        <w:cantSplit/>
      </w:trPr>
      <w:tc>
        <w:tcPr>
          <w:tcW w:w="0" w:type="pct"/>
        </w:tcPr>
        <w:p w14:paraId="544B1E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DB2D4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6452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B39B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3111" w14:paraId="6999D1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9C6679" w14:textId="77777777" w:rsidR="00EC379B" w:rsidRDefault="00302E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1429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FF4D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BF6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3E1A" w14:textId="77777777" w:rsidR="00000000" w:rsidRDefault="00302EFA">
      <w:r>
        <w:separator/>
      </w:r>
    </w:p>
  </w:footnote>
  <w:footnote w:type="continuationSeparator" w:id="0">
    <w:p w14:paraId="3FEC7244" w14:textId="77777777" w:rsidR="00000000" w:rsidRDefault="0030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BD6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044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4B8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A3F"/>
    <w:multiLevelType w:val="hybridMultilevel"/>
    <w:tmpl w:val="C21E7304"/>
    <w:lvl w:ilvl="0" w:tplc="DE807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EF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4E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45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CF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8D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8E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06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AF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5DB1"/>
    <w:multiLevelType w:val="hybridMultilevel"/>
    <w:tmpl w:val="395A96C6"/>
    <w:lvl w:ilvl="0" w:tplc="0966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4E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E6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2D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6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4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D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E4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E3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738E"/>
    <w:multiLevelType w:val="hybridMultilevel"/>
    <w:tmpl w:val="C4EC190C"/>
    <w:lvl w:ilvl="0" w:tplc="369A2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D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A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E9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8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E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1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48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82DE3"/>
    <w:multiLevelType w:val="hybridMultilevel"/>
    <w:tmpl w:val="2EC0E258"/>
    <w:lvl w:ilvl="0" w:tplc="E146E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E1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2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6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D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4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B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7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AC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BB4"/>
    <w:multiLevelType w:val="hybridMultilevel"/>
    <w:tmpl w:val="83142E40"/>
    <w:lvl w:ilvl="0" w:tplc="5FF8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C9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01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1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E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A6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6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1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EC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3D28"/>
    <w:multiLevelType w:val="hybridMultilevel"/>
    <w:tmpl w:val="C2FA8276"/>
    <w:lvl w:ilvl="0" w:tplc="CB5AD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F46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0C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02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0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2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A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23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69123">
    <w:abstractNumId w:val="3"/>
  </w:num>
  <w:num w:numId="2" w16cid:durableId="1399982102">
    <w:abstractNumId w:val="0"/>
  </w:num>
  <w:num w:numId="3" w16cid:durableId="353967078">
    <w:abstractNumId w:val="1"/>
  </w:num>
  <w:num w:numId="4" w16cid:durableId="1712682729">
    <w:abstractNumId w:val="5"/>
  </w:num>
  <w:num w:numId="5" w16cid:durableId="1565139300">
    <w:abstractNumId w:val="4"/>
  </w:num>
  <w:num w:numId="6" w16cid:durableId="152529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A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95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53A"/>
    <w:rsid w:val="0011378D"/>
    <w:rsid w:val="00115EE9"/>
    <w:rsid w:val="001169F9"/>
    <w:rsid w:val="00120797"/>
    <w:rsid w:val="001218D2"/>
    <w:rsid w:val="001226C8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111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A2A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942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273"/>
    <w:rsid w:val="002D05CC"/>
    <w:rsid w:val="002D305A"/>
    <w:rsid w:val="002E21B8"/>
    <w:rsid w:val="002E7DF9"/>
    <w:rsid w:val="002F097B"/>
    <w:rsid w:val="002F2147"/>
    <w:rsid w:val="002F3111"/>
    <w:rsid w:val="002F4AEC"/>
    <w:rsid w:val="002F6AB6"/>
    <w:rsid w:val="002F795D"/>
    <w:rsid w:val="00300823"/>
    <w:rsid w:val="00300D7F"/>
    <w:rsid w:val="00301638"/>
    <w:rsid w:val="00302EFA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3A9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372"/>
    <w:rsid w:val="003847E8"/>
    <w:rsid w:val="0038731D"/>
    <w:rsid w:val="00387B60"/>
    <w:rsid w:val="00390098"/>
    <w:rsid w:val="00392DA1"/>
    <w:rsid w:val="00393718"/>
    <w:rsid w:val="00396CC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852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324"/>
    <w:rsid w:val="00452FC3"/>
    <w:rsid w:val="00454715"/>
    <w:rsid w:val="00455936"/>
    <w:rsid w:val="00455ACE"/>
    <w:rsid w:val="00457CA2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AD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420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5F5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EB5"/>
    <w:rsid w:val="00777518"/>
    <w:rsid w:val="0077779E"/>
    <w:rsid w:val="00780FB6"/>
    <w:rsid w:val="00783F2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35E"/>
    <w:rsid w:val="007D2892"/>
    <w:rsid w:val="007D2DCC"/>
    <w:rsid w:val="007D47E1"/>
    <w:rsid w:val="007D7FCB"/>
    <w:rsid w:val="007E33B6"/>
    <w:rsid w:val="007E59E8"/>
    <w:rsid w:val="007E6C3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B2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E06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E85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105"/>
    <w:rsid w:val="008F09DF"/>
    <w:rsid w:val="008F3053"/>
    <w:rsid w:val="008F3136"/>
    <w:rsid w:val="008F40DF"/>
    <w:rsid w:val="008F5E16"/>
    <w:rsid w:val="008F5EFC"/>
    <w:rsid w:val="00901670"/>
    <w:rsid w:val="0090206F"/>
    <w:rsid w:val="00902212"/>
    <w:rsid w:val="0090227E"/>
    <w:rsid w:val="00903E0A"/>
    <w:rsid w:val="00904721"/>
    <w:rsid w:val="0090686F"/>
    <w:rsid w:val="00907780"/>
    <w:rsid w:val="00907EDD"/>
    <w:rsid w:val="009107AD"/>
    <w:rsid w:val="0091084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905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6BF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5E2"/>
    <w:rsid w:val="00AD5D51"/>
    <w:rsid w:val="00AD7780"/>
    <w:rsid w:val="00AE2263"/>
    <w:rsid w:val="00AE248E"/>
    <w:rsid w:val="00AE2D12"/>
    <w:rsid w:val="00AE2F06"/>
    <w:rsid w:val="00AE4F1C"/>
    <w:rsid w:val="00AF093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AE9"/>
    <w:rsid w:val="00B14BD2"/>
    <w:rsid w:val="00B14F96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0AD"/>
    <w:rsid w:val="00B5165A"/>
    <w:rsid w:val="00B524C1"/>
    <w:rsid w:val="00B52C8D"/>
    <w:rsid w:val="00B552D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62E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BA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C8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C29"/>
    <w:rsid w:val="00D6131A"/>
    <w:rsid w:val="00D61611"/>
    <w:rsid w:val="00D61784"/>
    <w:rsid w:val="00D6178A"/>
    <w:rsid w:val="00D63B53"/>
    <w:rsid w:val="00D64B88"/>
    <w:rsid w:val="00D64DC5"/>
    <w:rsid w:val="00D66393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B4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90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F0"/>
    <w:rsid w:val="00DF6BA8"/>
    <w:rsid w:val="00DF78EA"/>
    <w:rsid w:val="00DF7CA3"/>
    <w:rsid w:val="00DF7D2A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C46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199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80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F6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FA7"/>
    <w:rsid w:val="00F20E5F"/>
    <w:rsid w:val="00F25C26"/>
    <w:rsid w:val="00F25CC2"/>
    <w:rsid w:val="00F27573"/>
    <w:rsid w:val="00F307B6"/>
    <w:rsid w:val="00F30A4B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A72"/>
    <w:rsid w:val="00F96602"/>
    <w:rsid w:val="00F9735A"/>
    <w:rsid w:val="00FA32FC"/>
    <w:rsid w:val="00FA4B13"/>
    <w:rsid w:val="00FA59FD"/>
    <w:rsid w:val="00FA5D8C"/>
    <w:rsid w:val="00FA6403"/>
    <w:rsid w:val="00FB16CD"/>
    <w:rsid w:val="00FB73AE"/>
    <w:rsid w:val="00FC171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5F9077-1CF7-4767-BB44-2EF4B1EF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10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1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10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1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10AD"/>
    <w:rPr>
      <w:b/>
      <w:bCs/>
    </w:rPr>
  </w:style>
  <w:style w:type="paragraph" w:styleId="Revision">
    <w:name w:val="Revision"/>
    <w:hidden/>
    <w:uiPriority w:val="99"/>
    <w:semiHidden/>
    <w:rsid w:val="002D0273"/>
    <w:rPr>
      <w:sz w:val="24"/>
      <w:szCs w:val="24"/>
    </w:rPr>
  </w:style>
  <w:style w:type="character" w:styleId="Hyperlink">
    <w:name w:val="Hyperlink"/>
    <w:basedOn w:val="DefaultParagraphFont"/>
    <w:unhideWhenUsed/>
    <w:rsid w:val="00EB21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32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5235</Characters>
  <Application>Microsoft Office Word</Application>
  <DocSecurity>4</DocSecurity>
  <Lines>111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SB02016 (Committee Report (Unamended))</vt:lpstr>
    </vt:vector>
  </TitlesOfParts>
  <Company>State of Texas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30545</dc:subject>
  <dc:creator>State of Texas</dc:creator>
  <dc:description>SB 2016 by Zaffirini-(H)Licensing &amp; Administrative Procedures</dc:description>
  <cp:lastModifiedBy>Damian Duarte</cp:lastModifiedBy>
  <cp:revision>2</cp:revision>
  <cp:lastPrinted>2003-11-26T17:21:00Z</cp:lastPrinted>
  <dcterms:created xsi:type="dcterms:W3CDTF">2023-05-16T21:01:00Z</dcterms:created>
  <dcterms:modified xsi:type="dcterms:W3CDTF">2023-05-16T21:01:00Z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23.135.825</vt:lpwstr>
  </property>
</Properties>
</file>