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DE0" w:rsidRDefault="00482DE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DBF9AAE83A643EFB86885AAD376225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82DE0" w:rsidRPr="00585C31" w:rsidRDefault="00482DE0" w:rsidP="000F1DF9">
      <w:pPr>
        <w:spacing w:after="0" w:line="240" w:lineRule="auto"/>
        <w:rPr>
          <w:rFonts w:cs="Times New Roman"/>
          <w:szCs w:val="24"/>
        </w:rPr>
      </w:pPr>
    </w:p>
    <w:p w:rsidR="00482DE0" w:rsidRPr="00585C31" w:rsidRDefault="00482DE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82DE0" w:rsidTr="000F1DF9">
        <w:tc>
          <w:tcPr>
            <w:tcW w:w="2718" w:type="dxa"/>
          </w:tcPr>
          <w:p w:rsidR="00482DE0" w:rsidRPr="005C2A78" w:rsidRDefault="00482DE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29E4A75F6D0463FBBA30B3F63ECAFD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82DE0" w:rsidRPr="00FF6471" w:rsidRDefault="00482DE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4D7661E170647A48B3E9681FA7E61B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2033</w:t>
                </w:r>
              </w:sdtContent>
            </w:sdt>
          </w:p>
        </w:tc>
      </w:tr>
      <w:tr w:rsidR="00482DE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19457C366C64E7497483F9403E9C892"/>
            </w:placeholder>
          </w:sdtPr>
          <w:sdtContent>
            <w:tc>
              <w:tcPr>
                <w:tcW w:w="2718" w:type="dxa"/>
              </w:tcPr>
              <w:p w:rsidR="00482DE0" w:rsidRPr="000F1DF9" w:rsidRDefault="00482DE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88R11769 JG-F</w:t>
                </w:r>
              </w:p>
            </w:tc>
          </w:sdtContent>
        </w:sdt>
        <w:tc>
          <w:tcPr>
            <w:tcW w:w="6858" w:type="dxa"/>
          </w:tcPr>
          <w:p w:rsidR="00482DE0" w:rsidRPr="005C2A78" w:rsidRDefault="00482DE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6036915F6144306BB178F84C89796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4100F6495C141A696B212D52841EA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E9BFC32A6E244778137CD4A2BFCCAC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4095BCE05F44808909749C7BF83D81E"/>
                </w:placeholder>
                <w:showingPlcHdr/>
              </w:sdtPr>
              <w:sdtContent/>
            </w:sdt>
          </w:p>
        </w:tc>
      </w:tr>
      <w:tr w:rsidR="00482DE0" w:rsidTr="000F1DF9">
        <w:tc>
          <w:tcPr>
            <w:tcW w:w="2718" w:type="dxa"/>
          </w:tcPr>
          <w:p w:rsidR="00482DE0" w:rsidRPr="00BC7495" w:rsidRDefault="00482D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D117FECD4D64689BF339DF911B48808"/>
            </w:placeholder>
          </w:sdtPr>
          <w:sdtContent>
            <w:tc>
              <w:tcPr>
                <w:tcW w:w="6858" w:type="dxa"/>
              </w:tcPr>
              <w:p w:rsidR="00482DE0" w:rsidRPr="00FF6471" w:rsidRDefault="00482D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482DE0" w:rsidTr="000F1DF9">
        <w:tc>
          <w:tcPr>
            <w:tcW w:w="2718" w:type="dxa"/>
          </w:tcPr>
          <w:p w:rsidR="00482DE0" w:rsidRPr="00BC7495" w:rsidRDefault="00482D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237A63A920F4A2B87CCC15F76D230C1"/>
            </w:placeholder>
            <w:date w:fullDate="2023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82DE0" w:rsidRPr="00FF6471" w:rsidRDefault="00482D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4/4/2023</w:t>
                </w:r>
              </w:p>
            </w:tc>
          </w:sdtContent>
        </w:sdt>
      </w:tr>
      <w:tr w:rsidR="00482DE0" w:rsidTr="000F1DF9">
        <w:tc>
          <w:tcPr>
            <w:tcW w:w="2718" w:type="dxa"/>
          </w:tcPr>
          <w:p w:rsidR="00482DE0" w:rsidRPr="00BC7495" w:rsidRDefault="00482DE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B899B449E7B4BCAA119BF40FA10F82F"/>
            </w:placeholder>
          </w:sdtPr>
          <w:sdtContent>
            <w:tc>
              <w:tcPr>
                <w:tcW w:w="6858" w:type="dxa"/>
              </w:tcPr>
              <w:p w:rsidR="00482DE0" w:rsidRPr="00FF6471" w:rsidRDefault="00482DE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82DE0" w:rsidRDefault="00482DE0" w:rsidP="000F1DF9">
      <w:pPr>
        <w:spacing w:after="0" w:line="240" w:lineRule="auto"/>
        <w:rPr>
          <w:rFonts w:cs="Times New Roman"/>
          <w:szCs w:val="24"/>
        </w:rPr>
      </w:pPr>
    </w:p>
    <w:p w:rsidR="00482DE0" w:rsidRPr="00FF6471" w:rsidRDefault="00482DE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D6BA1745A7140E0807E448C39FA7BAA"/>
        </w:placeholder>
      </w:sdtPr>
      <w:sdtContent>
        <w:p w:rsidR="00482DE0" w:rsidRDefault="00482DE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90D56B6DE204F63AED83EAF53ACEEE7"/>
        </w:placeholder>
      </w:sdtPr>
      <w:sdtContent>
        <w:p w:rsidR="00482DE0" w:rsidRDefault="00482DE0" w:rsidP="00332BF5">
          <w:pPr>
            <w:pStyle w:val="NormalWeb"/>
            <w:spacing w:before="0" w:beforeAutospacing="0" w:after="0" w:afterAutospacing="0"/>
            <w:jc w:val="both"/>
            <w:divId w:val="2029140113"/>
            <w:rPr>
              <w:rFonts w:eastAsia="Times New Roman"/>
              <w:bCs/>
            </w:rPr>
          </w:pPr>
        </w:p>
        <w:p w:rsidR="00482DE0" w:rsidRPr="00CF20AE" w:rsidRDefault="00482DE0" w:rsidP="00332BF5">
          <w:pPr>
            <w:pStyle w:val="NormalWeb"/>
            <w:spacing w:before="0" w:beforeAutospacing="0" w:after="0" w:afterAutospacing="0"/>
            <w:jc w:val="both"/>
            <w:divId w:val="2029140113"/>
          </w:pPr>
          <w:r w:rsidRPr="00CF20AE">
            <w:t xml:space="preserve">Under </w:t>
          </w:r>
          <w:r>
            <w:t xml:space="preserve">Chapter </w:t>
          </w:r>
          <w:r w:rsidRPr="00CF20AE">
            <w:t>2306 of the Government Code, the Texas Department of Housing and Community Affairs (TDHCA) is responsible for administering all federal housing funds provided to the state under the Cranston-Gonzalez National Affordable Housing Act (42 U.S.C. Section 12704 et seq.) or any other affordable housing program. Some jurisdictions in the state contend that TDHCA</w:t>
          </w:r>
          <w:r>
            <w:t>'</w:t>
          </w:r>
          <w:r w:rsidRPr="00CF20AE">
            <w:t>s distribution of federal housing funds can limit certain areas of the state receiving an equitable allocation of these funds.</w:t>
          </w:r>
        </w:p>
        <w:p w:rsidR="00482DE0" w:rsidRPr="00CF20AE" w:rsidRDefault="00482DE0" w:rsidP="00332BF5">
          <w:pPr>
            <w:pStyle w:val="NormalWeb"/>
            <w:spacing w:before="0" w:beforeAutospacing="0" w:after="0" w:afterAutospacing="0"/>
            <w:jc w:val="both"/>
            <w:divId w:val="2029140113"/>
          </w:pPr>
          <w:r w:rsidRPr="00CF20AE">
            <w:t> </w:t>
          </w:r>
        </w:p>
        <w:p w:rsidR="00482DE0" w:rsidRPr="00CF20AE" w:rsidRDefault="00482DE0" w:rsidP="00332BF5">
          <w:pPr>
            <w:pStyle w:val="NormalWeb"/>
            <w:spacing w:before="0" w:beforeAutospacing="0" w:after="0" w:afterAutospacing="0"/>
            <w:jc w:val="both"/>
            <w:divId w:val="2029140113"/>
          </w:pPr>
          <w:r w:rsidRPr="00CF20AE">
            <w:t>S</w:t>
          </w:r>
          <w:r>
            <w:t>.</w:t>
          </w:r>
          <w:r w:rsidRPr="00CF20AE">
            <w:t>B</w:t>
          </w:r>
          <w:r>
            <w:t>.</w:t>
          </w:r>
          <w:r w:rsidRPr="00CF20AE">
            <w:t xml:space="preserve"> 2033 requires funding allocated as a one-time lump sum not be subject to the TDHCA allocation requirements or allocation formula and</w:t>
          </w:r>
          <w:r>
            <w:t xml:space="preserve">, </w:t>
          </w:r>
          <w:r w:rsidRPr="00CF20AE">
            <w:t>instead, be allocated according to federal law.  This legislation was requested by the Office of the Governor to ensure Texas has access to these funds.</w:t>
          </w:r>
        </w:p>
        <w:p w:rsidR="00482DE0" w:rsidRPr="00D70925" w:rsidRDefault="00482DE0" w:rsidP="00332BF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82DE0" w:rsidRDefault="00482D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2033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allocation of certain federal money provided under the Cranston-Gonzalez National Affordable Housing Act.</w:t>
      </w:r>
    </w:p>
    <w:p w:rsidR="00482DE0" w:rsidRPr="00CF20AE" w:rsidRDefault="00482DE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DE0" w:rsidRPr="005C2A78" w:rsidRDefault="00482DE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5848CAE55A74DA9AEBB23495F9895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82DE0" w:rsidRPr="006529C4" w:rsidRDefault="00482D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2DE0" w:rsidRPr="006529C4" w:rsidRDefault="00482DE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82DE0" w:rsidRPr="006529C4" w:rsidRDefault="00482DE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2DE0" w:rsidRPr="005C2A78" w:rsidRDefault="00482DE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BB23B97391644F0B4468EB1128B6B8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82DE0" w:rsidRPr="005C2A78" w:rsidRDefault="00482DE0" w:rsidP="00332B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DE0" w:rsidRDefault="00482DE0" w:rsidP="00332BF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2306.111, Government Code, by adding Subsection (j), as follows</w:t>
      </w:r>
      <w:r w:rsidRPr="00CF20AE">
        <w:t>:</w:t>
      </w:r>
    </w:p>
    <w:p w:rsidR="00482DE0" w:rsidRPr="00CF20AE" w:rsidRDefault="00482DE0" w:rsidP="00332BF5">
      <w:pPr>
        <w:spacing w:after="0" w:line="240" w:lineRule="auto"/>
        <w:jc w:val="both"/>
      </w:pPr>
    </w:p>
    <w:p w:rsidR="00482DE0" w:rsidRDefault="00482DE0" w:rsidP="00332BF5">
      <w:pPr>
        <w:spacing w:after="0" w:line="240" w:lineRule="auto"/>
        <w:ind w:left="720"/>
        <w:jc w:val="both"/>
      </w:pPr>
      <w:r w:rsidRPr="00CF20AE">
        <w:t>(j)  </w:t>
      </w:r>
      <w:r>
        <w:t>Provides that, n</w:t>
      </w:r>
      <w:r w:rsidRPr="00CF20AE">
        <w:t>otwithstanding any other law, money provided to this state under the Cranston-Gonzalez National Affordable Housing Act (42 U.S.C. Section 12701 et seq.) as a one-time lump sum for a specified use:</w:t>
      </w:r>
    </w:p>
    <w:p w:rsidR="00482DE0" w:rsidRPr="00CF20AE" w:rsidRDefault="00482DE0" w:rsidP="00332BF5">
      <w:pPr>
        <w:spacing w:after="0" w:line="240" w:lineRule="auto"/>
        <w:ind w:firstLine="720"/>
        <w:jc w:val="both"/>
      </w:pPr>
    </w:p>
    <w:p w:rsidR="00482DE0" w:rsidRDefault="00482DE0" w:rsidP="00332BF5">
      <w:pPr>
        <w:spacing w:after="0" w:line="240" w:lineRule="auto"/>
        <w:ind w:left="1440"/>
        <w:jc w:val="both"/>
      </w:pPr>
      <w:r w:rsidRPr="00CF20AE">
        <w:t xml:space="preserve">(1)  is not subject to the allocation requirements under </w:t>
      </w:r>
      <w:r>
        <w:t xml:space="preserve">Section 2306.111 (Housing Funds) </w:t>
      </w:r>
      <w:r w:rsidRPr="00CF20AE">
        <w:t xml:space="preserve">or the allocation formula developed by the </w:t>
      </w:r>
      <w:r>
        <w:t xml:space="preserve">Texas Department of Housing and Community Affairs </w:t>
      </w:r>
      <w:r w:rsidRPr="00CF20AE">
        <w:t>under Section 2306.1115</w:t>
      </w:r>
      <w:r>
        <w:t xml:space="preserve"> (Regional Allocation Formula)</w:t>
      </w:r>
      <w:r w:rsidRPr="00CF20AE">
        <w:t>; and</w:t>
      </w:r>
    </w:p>
    <w:p w:rsidR="00482DE0" w:rsidRPr="00CF20AE" w:rsidRDefault="00482DE0" w:rsidP="00332BF5">
      <w:pPr>
        <w:spacing w:after="0" w:line="240" w:lineRule="auto"/>
        <w:ind w:firstLine="1440"/>
        <w:jc w:val="both"/>
      </w:pPr>
    </w:p>
    <w:p w:rsidR="00482DE0" w:rsidRDefault="00482DE0" w:rsidP="00332BF5">
      <w:pPr>
        <w:spacing w:after="0" w:line="240" w:lineRule="auto"/>
        <w:ind w:left="1440"/>
        <w:jc w:val="both"/>
      </w:pPr>
      <w:r w:rsidRPr="00CF20AE">
        <w:t>(2)  </w:t>
      </w:r>
      <w:r>
        <w:t xml:space="preserve">is authorized to </w:t>
      </w:r>
      <w:r w:rsidRPr="00CF20AE">
        <w:t>be allocated for the benefit of any area of this state in the manner specified under federal law.</w:t>
      </w:r>
    </w:p>
    <w:p w:rsidR="00482DE0" w:rsidRPr="00CF20AE" w:rsidRDefault="00482DE0" w:rsidP="00332BF5">
      <w:pPr>
        <w:spacing w:after="0" w:line="240" w:lineRule="auto"/>
        <w:ind w:firstLine="1440"/>
        <w:jc w:val="both"/>
      </w:pPr>
    </w:p>
    <w:p w:rsidR="00482DE0" w:rsidRPr="005C2A78" w:rsidRDefault="00482DE0" w:rsidP="00332B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2023. </w:t>
      </w:r>
    </w:p>
    <w:p w:rsidR="00482DE0" w:rsidRPr="00C8671F" w:rsidRDefault="00482DE0" w:rsidP="00332B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82DE0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CB1" w:rsidRDefault="00D53CB1" w:rsidP="000F1DF9">
      <w:pPr>
        <w:spacing w:after="0" w:line="240" w:lineRule="auto"/>
      </w:pPr>
      <w:r>
        <w:separator/>
      </w:r>
    </w:p>
  </w:endnote>
  <w:endnote w:type="continuationSeparator" w:id="0">
    <w:p w:rsidR="00D53CB1" w:rsidRDefault="00D53CB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53CB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82DE0">
                <w:rPr>
                  <w:sz w:val="20"/>
                  <w:szCs w:val="20"/>
                </w:rPr>
                <w:t>MSC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82DE0">
                <w:rPr>
                  <w:sz w:val="20"/>
                  <w:szCs w:val="20"/>
                </w:rPr>
                <w:t>S.B. 2033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82DE0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53CB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CB1" w:rsidRDefault="00D53CB1" w:rsidP="000F1DF9">
      <w:pPr>
        <w:spacing w:after="0" w:line="240" w:lineRule="auto"/>
      </w:pPr>
      <w:r>
        <w:separator/>
      </w:r>
    </w:p>
  </w:footnote>
  <w:footnote w:type="continuationSeparator" w:id="0">
    <w:p w:rsidR="00D53CB1" w:rsidRDefault="00D53CB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2DE0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53CB1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8210C"/>
  <w15:docId w15:val="{1AD47FB4-3FF9-4B87-9B62-42B1350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DE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DBF9AAE83A643EFB86885AAD376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25DFB-3741-4625-8AE7-430263445578}"/>
      </w:docPartPr>
      <w:docPartBody>
        <w:p w:rsidR="00000000" w:rsidRDefault="00E40FDD"/>
      </w:docPartBody>
    </w:docPart>
    <w:docPart>
      <w:docPartPr>
        <w:name w:val="229E4A75F6D0463FBBA30B3F63EC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FC2D-350B-4409-BF9B-14E2CB19C25A}"/>
      </w:docPartPr>
      <w:docPartBody>
        <w:p w:rsidR="00000000" w:rsidRDefault="00E40FDD"/>
      </w:docPartBody>
    </w:docPart>
    <w:docPart>
      <w:docPartPr>
        <w:name w:val="64D7661E170647A48B3E9681FA7E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8A4B-5595-4D82-9058-4C50AED5653F}"/>
      </w:docPartPr>
      <w:docPartBody>
        <w:p w:rsidR="00000000" w:rsidRDefault="00E40FDD"/>
      </w:docPartBody>
    </w:docPart>
    <w:docPart>
      <w:docPartPr>
        <w:name w:val="219457C366C64E7497483F9403E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EA29-6D44-43B0-9A11-838DE0F57106}"/>
      </w:docPartPr>
      <w:docPartBody>
        <w:p w:rsidR="00000000" w:rsidRDefault="00E40FDD"/>
      </w:docPartBody>
    </w:docPart>
    <w:docPart>
      <w:docPartPr>
        <w:name w:val="F6036915F6144306BB178F84C897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AF63-ADE4-4385-8739-9EE1B36EC8C7}"/>
      </w:docPartPr>
      <w:docPartBody>
        <w:p w:rsidR="00000000" w:rsidRDefault="00E40FDD"/>
      </w:docPartBody>
    </w:docPart>
    <w:docPart>
      <w:docPartPr>
        <w:name w:val="44100F6495C141A696B212D52841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4A69-791F-45E2-A681-1E589ED684F5}"/>
      </w:docPartPr>
      <w:docPartBody>
        <w:p w:rsidR="00000000" w:rsidRDefault="00E40FDD"/>
      </w:docPartBody>
    </w:docPart>
    <w:docPart>
      <w:docPartPr>
        <w:name w:val="FE9BFC32A6E244778137CD4A2BF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3A2D-4B7C-4997-A31D-E719AF7BBB5B}"/>
      </w:docPartPr>
      <w:docPartBody>
        <w:p w:rsidR="00000000" w:rsidRDefault="00E40FDD"/>
      </w:docPartBody>
    </w:docPart>
    <w:docPart>
      <w:docPartPr>
        <w:name w:val="74095BCE05F44808909749C7BF83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1526-1311-4EB2-AD80-183E7294B4A1}"/>
      </w:docPartPr>
      <w:docPartBody>
        <w:p w:rsidR="00000000" w:rsidRDefault="00E40FDD"/>
      </w:docPartBody>
    </w:docPart>
    <w:docPart>
      <w:docPartPr>
        <w:name w:val="AD117FECD4D64689BF339DF911B4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69F-0D3A-4C91-ADEB-DE04ACD01A9B}"/>
      </w:docPartPr>
      <w:docPartBody>
        <w:p w:rsidR="00000000" w:rsidRDefault="00E40FDD"/>
      </w:docPartBody>
    </w:docPart>
    <w:docPart>
      <w:docPartPr>
        <w:name w:val="5237A63A920F4A2B87CCC15F76D2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E1E5-3E6C-485B-92A4-A11DA86FAD89}"/>
      </w:docPartPr>
      <w:docPartBody>
        <w:p w:rsidR="00000000" w:rsidRDefault="005C29E9" w:rsidP="005C29E9">
          <w:pPr>
            <w:pStyle w:val="5237A63A920F4A2B87CCC15F76D230C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B899B449E7B4BCAA119BF40FA10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67A2-80E1-49A8-9F94-618D532FDF4A}"/>
      </w:docPartPr>
      <w:docPartBody>
        <w:p w:rsidR="00000000" w:rsidRDefault="00E40FDD"/>
      </w:docPartBody>
    </w:docPart>
    <w:docPart>
      <w:docPartPr>
        <w:name w:val="8D6BA1745A7140E0807E448C39FA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749F-965F-4256-A165-1262D772C860}"/>
      </w:docPartPr>
      <w:docPartBody>
        <w:p w:rsidR="00000000" w:rsidRDefault="00E40FDD"/>
      </w:docPartBody>
    </w:docPart>
    <w:docPart>
      <w:docPartPr>
        <w:name w:val="390D56B6DE204F63AED83EAF53AC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7AE6-1CE3-4B35-93A4-09927A9383D3}"/>
      </w:docPartPr>
      <w:docPartBody>
        <w:p w:rsidR="00000000" w:rsidRDefault="005C29E9" w:rsidP="005C29E9">
          <w:pPr>
            <w:pStyle w:val="390D56B6DE204F63AED83EAF53ACEEE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5848CAE55A74DA9AEBB23495F98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A5C1-CD70-4448-AEF6-63613B91B9DA}"/>
      </w:docPartPr>
      <w:docPartBody>
        <w:p w:rsidR="00000000" w:rsidRDefault="00E40FDD"/>
      </w:docPartBody>
    </w:docPart>
    <w:docPart>
      <w:docPartPr>
        <w:name w:val="2BB23B97391644F0B4468EB1128B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2B09-50B0-4F2B-BB54-1F5BD0ADEA48}"/>
      </w:docPartPr>
      <w:docPartBody>
        <w:p w:rsidR="00000000" w:rsidRDefault="00E40F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29E9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40FDD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9E9"/>
    <w:rPr>
      <w:color w:val="808080"/>
    </w:rPr>
  </w:style>
  <w:style w:type="paragraph" w:customStyle="1" w:styleId="5237A63A920F4A2B87CCC15F76D230C1">
    <w:name w:val="5237A63A920F4A2B87CCC15F76D230C1"/>
    <w:rsid w:val="005C29E9"/>
    <w:pPr>
      <w:spacing w:after="160" w:line="259" w:lineRule="auto"/>
    </w:pPr>
  </w:style>
  <w:style w:type="paragraph" w:customStyle="1" w:styleId="390D56B6DE204F63AED83EAF53ACEEE7">
    <w:name w:val="390D56B6DE204F63AED83EAF53ACEEE7"/>
    <w:rsid w:val="005C29E9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307</Words>
  <Characters>1752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2023-04-07T23:57:00Z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