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4B493B" w14:paraId="509F4C78" w14:textId="77777777" w:rsidTr="00345119">
        <w:tc>
          <w:tcPr>
            <w:tcW w:w="9576" w:type="dxa"/>
            <w:noWrap/>
          </w:tcPr>
          <w:p w14:paraId="6D90371D" w14:textId="77777777" w:rsidR="008423E4" w:rsidRPr="0022177D" w:rsidRDefault="009455B0" w:rsidP="00561FC9">
            <w:pPr>
              <w:pStyle w:val="Heading1"/>
            </w:pPr>
            <w:r w:rsidRPr="00631897">
              <w:t>BILL ANALYSIS</w:t>
            </w:r>
          </w:p>
        </w:tc>
      </w:tr>
    </w:tbl>
    <w:p w14:paraId="0A457808" w14:textId="77777777" w:rsidR="008423E4" w:rsidRPr="0022177D" w:rsidRDefault="008423E4" w:rsidP="00561FC9">
      <w:pPr>
        <w:jc w:val="center"/>
      </w:pPr>
    </w:p>
    <w:p w14:paraId="261A759E" w14:textId="77777777" w:rsidR="008423E4" w:rsidRPr="00B31F0E" w:rsidRDefault="008423E4" w:rsidP="00561FC9"/>
    <w:p w14:paraId="601EF667" w14:textId="77777777" w:rsidR="008423E4" w:rsidRPr="00742794" w:rsidRDefault="008423E4" w:rsidP="00561FC9">
      <w:pPr>
        <w:tabs>
          <w:tab w:val="right" w:pos="9360"/>
        </w:tabs>
      </w:pPr>
    </w:p>
    <w:tbl>
      <w:tblPr>
        <w:tblW w:w="0" w:type="auto"/>
        <w:tblLayout w:type="fixed"/>
        <w:tblLook w:val="01E0" w:firstRow="1" w:lastRow="1" w:firstColumn="1" w:lastColumn="1" w:noHBand="0" w:noVBand="0"/>
      </w:tblPr>
      <w:tblGrid>
        <w:gridCol w:w="9576"/>
      </w:tblGrid>
      <w:tr w:rsidR="004B493B" w14:paraId="08539BCB" w14:textId="77777777" w:rsidTr="00345119">
        <w:tc>
          <w:tcPr>
            <w:tcW w:w="9576" w:type="dxa"/>
          </w:tcPr>
          <w:p w14:paraId="1EDFBC9D" w14:textId="27BF9514" w:rsidR="008423E4" w:rsidRPr="00861995" w:rsidRDefault="009455B0" w:rsidP="00561FC9">
            <w:pPr>
              <w:jc w:val="right"/>
            </w:pPr>
            <w:r>
              <w:t>S.B. 2035</w:t>
            </w:r>
          </w:p>
        </w:tc>
      </w:tr>
      <w:tr w:rsidR="004B493B" w14:paraId="4A9259AD" w14:textId="77777777" w:rsidTr="00345119">
        <w:tc>
          <w:tcPr>
            <w:tcW w:w="9576" w:type="dxa"/>
          </w:tcPr>
          <w:p w14:paraId="0A8C7C89" w14:textId="689E069D" w:rsidR="008423E4" w:rsidRPr="00861995" w:rsidRDefault="009455B0" w:rsidP="00561FC9">
            <w:pPr>
              <w:jc w:val="right"/>
            </w:pPr>
            <w:r>
              <w:t xml:space="preserve">By: </w:t>
            </w:r>
            <w:r w:rsidR="00F51223">
              <w:t>Bettencourt</w:t>
            </w:r>
          </w:p>
        </w:tc>
      </w:tr>
      <w:tr w:rsidR="004B493B" w14:paraId="3BF2C171" w14:textId="77777777" w:rsidTr="00345119">
        <w:tc>
          <w:tcPr>
            <w:tcW w:w="9576" w:type="dxa"/>
          </w:tcPr>
          <w:p w14:paraId="6B872DBE" w14:textId="01DCB32D" w:rsidR="008423E4" w:rsidRPr="00861995" w:rsidRDefault="009455B0" w:rsidP="00561FC9">
            <w:pPr>
              <w:jc w:val="right"/>
            </w:pPr>
            <w:r>
              <w:t>Pensions, Investments &amp; Financial Services</w:t>
            </w:r>
          </w:p>
        </w:tc>
      </w:tr>
      <w:tr w:rsidR="004B493B" w14:paraId="2A5CA6C7" w14:textId="77777777" w:rsidTr="00345119">
        <w:tc>
          <w:tcPr>
            <w:tcW w:w="9576" w:type="dxa"/>
          </w:tcPr>
          <w:p w14:paraId="6AF3E9C9" w14:textId="196FA5B0" w:rsidR="008423E4" w:rsidRDefault="009455B0" w:rsidP="00561FC9">
            <w:pPr>
              <w:jc w:val="right"/>
            </w:pPr>
            <w:r>
              <w:t>Committee Report (Unamended)</w:t>
            </w:r>
          </w:p>
        </w:tc>
      </w:tr>
    </w:tbl>
    <w:p w14:paraId="3F76E35B" w14:textId="77777777" w:rsidR="008423E4" w:rsidRDefault="008423E4" w:rsidP="00561FC9">
      <w:pPr>
        <w:tabs>
          <w:tab w:val="right" w:pos="9360"/>
        </w:tabs>
      </w:pPr>
    </w:p>
    <w:p w14:paraId="4EFCE356" w14:textId="77777777" w:rsidR="008423E4" w:rsidRDefault="008423E4" w:rsidP="00561FC9"/>
    <w:p w14:paraId="56AA4CCE" w14:textId="77777777" w:rsidR="008423E4" w:rsidRDefault="008423E4" w:rsidP="00561FC9"/>
    <w:tbl>
      <w:tblPr>
        <w:tblW w:w="0" w:type="auto"/>
        <w:tblCellMar>
          <w:left w:w="115" w:type="dxa"/>
          <w:right w:w="115" w:type="dxa"/>
        </w:tblCellMar>
        <w:tblLook w:val="01E0" w:firstRow="1" w:lastRow="1" w:firstColumn="1" w:lastColumn="1" w:noHBand="0" w:noVBand="0"/>
      </w:tblPr>
      <w:tblGrid>
        <w:gridCol w:w="9360"/>
      </w:tblGrid>
      <w:tr w:rsidR="004B493B" w14:paraId="264B9751" w14:textId="77777777" w:rsidTr="00345119">
        <w:tc>
          <w:tcPr>
            <w:tcW w:w="9576" w:type="dxa"/>
          </w:tcPr>
          <w:p w14:paraId="5E51709F" w14:textId="77777777" w:rsidR="008423E4" w:rsidRPr="00A8133F" w:rsidRDefault="009455B0" w:rsidP="00561FC9">
            <w:pPr>
              <w:rPr>
                <w:b/>
              </w:rPr>
            </w:pPr>
            <w:r w:rsidRPr="009C1E9A">
              <w:rPr>
                <w:b/>
                <w:u w:val="single"/>
              </w:rPr>
              <w:t>BACKGROUND AND PURPOSE</w:t>
            </w:r>
            <w:r>
              <w:rPr>
                <w:b/>
              </w:rPr>
              <w:t xml:space="preserve"> </w:t>
            </w:r>
          </w:p>
          <w:p w14:paraId="755A7247" w14:textId="77777777" w:rsidR="008423E4" w:rsidRDefault="008423E4" w:rsidP="00561FC9"/>
          <w:p w14:paraId="29DF0AED" w14:textId="27425532" w:rsidR="008423E4" w:rsidRDefault="009455B0" w:rsidP="00561FC9">
            <w:pPr>
              <w:pStyle w:val="Header"/>
              <w:tabs>
                <w:tab w:val="clear" w:pos="4320"/>
                <w:tab w:val="clear" w:pos="8640"/>
              </w:tabs>
              <w:jc w:val="both"/>
            </w:pPr>
            <w:r>
              <w:t>Across the state, v</w:t>
            </w:r>
            <w:r w:rsidR="00F51223">
              <w:t xml:space="preserve">oters have rejected bond ballot measures to build various types of structures. The elected officials in these jurisdictions followed the rules and procedures to place these items on the ballot for voters to approve or reject. Over the past few years, there have been instances of elected officials thwarting the will of the voters and using alternative </w:t>
            </w:r>
            <w:r w:rsidR="00632373">
              <w:t xml:space="preserve">financing </w:t>
            </w:r>
            <w:r w:rsidR="00F51223">
              <w:t>methods to fund a project voters previously rejected. S</w:t>
            </w:r>
            <w:r w:rsidR="00632373">
              <w:t>.</w:t>
            </w:r>
            <w:r w:rsidR="00F51223">
              <w:t>B</w:t>
            </w:r>
            <w:r w:rsidR="00632373">
              <w:t>.</w:t>
            </w:r>
            <w:r w:rsidR="00F51223">
              <w:t xml:space="preserve"> 2035 </w:t>
            </w:r>
            <w:r w:rsidR="00632373">
              <w:t xml:space="preserve">seeks to address this issue by </w:t>
            </w:r>
            <w:r w:rsidR="00F51223">
              <w:t>extend</w:t>
            </w:r>
            <w:r w:rsidR="00632373">
              <w:t>ing</w:t>
            </w:r>
            <w:r w:rsidR="00F51223">
              <w:t xml:space="preserve"> the length of time</w:t>
            </w:r>
            <w:r w:rsidR="00632373">
              <w:t xml:space="preserve"> </w:t>
            </w:r>
            <w:r w:rsidR="00F51223">
              <w:t xml:space="preserve">that </w:t>
            </w:r>
            <w:r w:rsidR="00EF5828">
              <w:t xml:space="preserve">certain </w:t>
            </w:r>
            <w:r w:rsidR="00F51223">
              <w:t>taxing entit</w:t>
            </w:r>
            <w:r w:rsidR="00EF5828">
              <w:t>ies are</w:t>
            </w:r>
            <w:r w:rsidR="00F51223">
              <w:t xml:space="preserve"> prohibited from using certificates of obligation to fund a voter-rejected project. </w:t>
            </w:r>
            <w:r w:rsidR="00EF5828">
              <w:t>T</w:t>
            </w:r>
            <w:r w:rsidR="00632373">
              <w:t>he</w:t>
            </w:r>
            <w:r w:rsidR="00F51223">
              <w:t xml:space="preserve"> bill </w:t>
            </w:r>
            <w:r w:rsidR="00632373">
              <w:t xml:space="preserve">additionally establishes a period during which </w:t>
            </w:r>
            <w:r w:rsidR="00F51223">
              <w:t>the issuance of anticipation notes</w:t>
            </w:r>
            <w:r w:rsidR="00632373">
              <w:t xml:space="preserve"> is prohibited following the </w:t>
            </w:r>
            <w:r w:rsidR="00F51223">
              <w:t>reject</w:t>
            </w:r>
            <w:r w:rsidR="00632373">
              <w:t xml:space="preserve">ion </w:t>
            </w:r>
            <w:r>
              <w:t>of</w:t>
            </w:r>
            <w:r w:rsidR="00F51223">
              <w:t xml:space="preserve"> a proposed bond project</w:t>
            </w:r>
            <w:r>
              <w:t xml:space="preserve"> by voters</w:t>
            </w:r>
            <w:r w:rsidR="00F51223">
              <w:t xml:space="preserve">. </w:t>
            </w:r>
          </w:p>
          <w:p w14:paraId="6CB2E6C2" w14:textId="77777777" w:rsidR="008423E4" w:rsidRPr="00E26B13" w:rsidRDefault="008423E4" w:rsidP="00561FC9">
            <w:pPr>
              <w:rPr>
                <w:b/>
              </w:rPr>
            </w:pPr>
          </w:p>
        </w:tc>
      </w:tr>
      <w:tr w:rsidR="004B493B" w14:paraId="72F68186" w14:textId="77777777" w:rsidTr="00345119">
        <w:tc>
          <w:tcPr>
            <w:tcW w:w="9576" w:type="dxa"/>
          </w:tcPr>
          <w:p w14:paraId="3CF8B533" w14:textId="77777777" w:rsidR="0017725B" w:rsidRDefault="009455B0" w:rsidP="00561FC9">
            <w:pPr>
              <w:rPr>
                <w:b/>
                <w:u w:val="single"/>
              </w:rPr>
            </w:pPr>
            <w:r>
              <w:rPr>
                <w:b/>
                <w:u w:val="single"/>
              </w:rPr>
              <w:t>CRIMINAL JUSTICE IMPACT</w:t>
            </w:r>
          </w:p>
          <w:p w14:paraId="2C4C36E7" w14:textId="77777777" w:rsidR="0017725B" w:rsidRDefault="0017725B" w:rsidP="00561FC9">
            <w:pPr>
              <w:rPr>
                <w:b/>
                <w:u w:val="single"/>
              </w:rPr>
            </w:pPr>
          </w:p>
          <w:p w14:paraId="2BCB766C" w14:textId="378AD2B2" w:rsidR="006B6427" w:rsidRPr="006B6427" w:rsidRDefault="009455B0" w:rsidP="00561FC9">
            <w:pPr>
              <w:jc w:val="both"/>
            </w:pPr>
            <w:r>
              <w:t>It is the committee's opinion that this bill does not expressly create a criminal offense, increase the punishment for an existing criminal offense or category of offenses, or change the eligibility of a person for community s</w:t>
            </w:r>
            <w:r>
              <w:t>upervision, parole, or mandatory supervision.</w:t>
            </w:r>
          </w:p>
          <w:p w14:paraId="5887F608" w14:textId="77777777" w:rsidR="0017725B" w:rsidRPr="0017725B" w:rsidRDefault="0017725B" w:rsidP="00561FC9">
            <w:pPr>
              <w:rPr>
                <w:b/>
                <w:u w:val="single"/>
              </w:rPr>
            </w:pPr>
          </w:p>
        </w:tc>
      </w:tr>
      <w:tr w:rsidR="004B493B" w14:paraId="2C977FC3" w14:textId="77777777" w:rsidTr="00345119">
        <w:tc>
          <w:tcPr>
            <w:tcW w:w="9576" w:type="dxa"/>
          </w:tcPr>
          <w:p w14:paraId="75D3E2BE" w14:textId="77777777" w:rsidR="008423E4" w:rsidRPr="00A8133F" w:rsidRDefault="009455B0" w:rsidP="00561FC9">
            <w:pPr>
              <w:rPr>
                <w:b/>
              </w:rPr>
            </w:pPr>
            <w:r w:rsidRPr="009C1E9A">
              <w:rPr>
                <w:b/>
                <w:u w:val="single"/>
              </w:rPr>
              <w:t>RULEMAKING AUTHORITY</w:t>
            </w:r>
            <w:r>
              <w:rPr>
                <w:b/>
              </w:rPr>
              <w:t xml:space="preserve"> </w:t>
            </w:r>
          </w:p>
          <w:p w14:paraId="5CAE96F9" w14:textId="77777777" w:rsidR="008423E4" w:rsidRDefault="008423E4" w:rsidP="00561FC9"/>
          <w:p w14:paraId="63B254EA" w14:textId="4B707092" w:rsidR="006B6427" w:rsidRDefault="009455B0" w:rsidP="00561FC9">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01A185D2" w14:textId="77777777" w:rsidR="008423E4" w:rsidRPr="00E21FDC" w:rsidRDefault="008423E4" w:rsidP="00561FC9">
            <w:pPr>
              <w:rPr>
                <w:b/>
              </w:rPr>
            </w:pPr>
          </w:p>
        </w:tc>
      </w:tr>
      <w:tr w:rsidR="004B493B" w14:paraId="37D226C9" w14:textId="77777777" w:rsidTr="00345119">
        <w:tc>
          <w:tcPr>
            <w:tcW w:w="9576" w:type="dxa"/>
          </w:tcPr>
          <w:p w14:paraId="4B0D37B4" w14:textId="77777777" w:rsidR="008423E4" w:rsidRPr="00A8133F" w:rsidRDefault="009455B0" w:rsidP="00561FC9">
            <w:pPr>
              <w:rPr>
                <w:b/>
              </w:rPr>
            </w:pPr>
            <w:r w:rsidRPr="009C1E9A">
              <w:rPr>
                <w:b/>
                <w:u w:val="single"/>
              </w:rPr>
              <w:t>ANALYSIS</w:t>
            </w:r>
            <w:r>
              <w:rPr>
                <w:b/>
              </w:rPr>
              <w:t xml:space="preserve"> </w:t>
            </w:r>
          </w:p>
          <w:p w14:paraId="551ECDE4" w14:textId="77777777" w:rsidR="008423E4" w:rsidRDefault="008423E4" w:rsidP="00561FC9"/>
          <w:p w14:paraId="022987E4" w14:textId="0D135948" w:rsidR="00132575" w:rsidRDefault="009455B0" w:rsidP="00561FC9">
            <w:pPr>
              <w:pStyle w:val="Header"/>
              <w:jc w:val="both"/>
            </w:pPr>
            <w:r>
              <w:t xml:space="preserve">S.B. 2035 amends the Government Code to prohibit the governing body of </w:t>
            </w:r>
            <w:r w:rsidR="00A161DF" w:rsidRPr="00E31D36">
              <w:t xml:space="preserve">a county, municipality, eligible school district, or eligible countywide district </w:t>
            </w:r>
            <w:r>
              <w:t xml:space="preserve">from authorizing </w:t>
            </w:r>
            <w:r w:rsidRPr="00132575">
              <w:t>an anticipation note to pay a contractual obligation to be incurred if a bond proposit</w:t>
            </w:r>
            <w:r w:rsidRPr="00132575">
              <w:t>ion to authorize the issuance of bonds for the same purpose was submitted to</w:t>
            </w:r>
            <w:r w:rsidR="005D368C">
              <w:t xml:space="preserve"> and </w:t>
            </w:r>
            <w:r w:rsidR="005D368C" w:rsidRPr="001C7C65">
              <w:t>rejected by</w:t>
            </w:r>
            <w:r w:rsidRPr="00132575">
              <w:t xml:space="preserve"> the voters during the preceding five years</w:t>
            </w:r>
            <w:r w:rsidR="003B6E4D">
              <w:t xml:space="preserve"> except under the following circumstances</w:t>
            </w:r>
            <w:r>
              <w:t>:</w:t>
            </w:r>
          </w:p>
          <w:p w14:paraId="07E38F32" w14:textId="6690FAF3" w:rsidR="003B6E4D" w:rsidRDefault="009455B0" w:rsidP="00561FC9">
            <w:pPr>
              <w:pStyle w:val="Header"/>
              <w:numPr>
                <w:ilvl w:val="0"/>
                <w:numId w:val="1"/>
              </w:numPr>
              <w:jc w:val="both"/>
            </w:pPr>
            <w:r>
              <w:t>i</w:t>
            </w:r>
            <w:r w:rsidR="00132575">
              <w:t>n a case</w:t>
            </w:r>
            <w:r w:rsidR="006B6427">
              <w:t xml:space="preserve"> of public calamity</w:t>
            </w:r>
            <w:r>
              <w:t xml:space="preserve"> </w:t>
            </w:r>
            <w:r w:rsidRPr="003B6E4D">
              <w:t>if it is necessary to act promptly to relieve the</w:t>
            </w:r>
            <w:r w:rsidRPr="003B6E4D">
              <w:t xml:space="preserve"> necessity of the residents or to preserve the property of the issuer</w:t>
            </w:r>
            <w:r>
              <w:t>;</w:t>
            </w:r>
            <w:r w:rsidR="006B6427">
              <w:t xml:space="preserve"> </w:t>
            </w:r>
          </w:p>
          <w:p w14:paraId="3D8B5007" w14:textId="62F81A9C" w:rsidR="003B6E4D" w:rsidRDefault="009455B0" w:rsidP="00561FC9">
            <w:pPr>
              <w:pStyle w:val="Header"/>
              <w:numPr>
                <w:ilvl w:val="0"/>
                <w:numId w:val="1"/>
              </w:numPr>
              <w:jc w:val="both"/>
            </w:pPr>
            <w:r>
              <w:t xml:space="preserve">in </w:t>
            </w:r>
            <w:r w:rsidR="006B6427">
              <w:t xml:space="preserve">a case in which it is necessary to preserve </w:t>
            </w:r>
            <w:r>
              <w:t xml:space="preserve">or protect </w:t>
            </w:r>
            <w:r w:rsidR="006B6427">
              <w:t>the public health of the</w:t>
            </w:r>
            <w:r>
              <w:t xml:space="preserve"> issuer's</w:t>
            </w:r>
            <w:r w:rsidR="006B6427">
              <w:t xml:space="preserve"> residents</w:t>
            </w:r>
            <w:r>
              <w:t>;</w:t>
            </w:r>
            <w:r w:rsidR="006B6427">
              <w:t xml:space="preserve"> </w:t>
            </w:r>
          </w:p>
          <w:p w14:paraId="0E4EF66B" w14:textId="6194B8B1" w:rsidR="00132575" w:rsidRDefault="009455B0" w:rsidP="00561FC9">
            <w:pPr>
              <w:pStyle w:val="Header"/>
              <w:numPr>
                <w:ilvl w:val="0"/>
                <w:numId w:val="1"/>
              </w:numPr>
              <w:jc w:val="both"/>
            </w:pPr>
            <w:r>
              <w:t xml:space="preserve">in </w:t>
            </w:r>
            <w:r w:rsidR="006B6427">
              <w:t>a case of unforeseen damage to public machinery, equipment, or other property</w:t>
            </w:r>
            <w:r>
              <w:t>;</w:t>
            </w:r>
          </w:p>
          <w:p w14:paraId="4D5CCAFC" w14:textId="2C7BCEDA" w:rsidR="00132575" w:rsidRDefault="009455B0" w:rsidP="00561FC9">
            <w:pPr>
              <w:pStyle w:val="Header"/>
              <w:numPr>
                <w:ilvl w:val="0"/>
                <w:numId w:val="1"/>
              </w:numPr>
              <w:jc w:val="both"/>
            </w:pPr>
            <w:r>
              <w:t>to finance the cleanup, mitigation, or remediation of a natural disaster;</w:t>
            </w:r>
          </w:p>
          <w:p w14:paraId="75C35F62" w14:textId="6321C6CF" w:rsidR="00132575" w:rsidRDefault="009455B0" w:rsidP="00561FC9">
            <w:pPr>
              <w:pStyle w:val="Header"/>
              <w:numPr>
                <w:ilvl w:val="0"/>
                <w:numId w:val="1"/>
              </w:numPr>
              <w:jc w:val="both"/>
            </w:pPr>
            <w:r>
              <w:t xml:space="preserve">to comply with a federal court order; </w:t>
            </w:r>
            <w:r w:rsidR="003B6E4D">
              <w:t>or</w:t>
            </w:r>
          </w:p>
          <w:p w14:paraId="19CD8FBA" w14:textId="03CA3154" w:rsidR="009C36CD" w:rsidRDefault="009455B0" w:rsidP="00561FC9">
            <w:pPr>
              <w:pStyle w:val="Header"/>
              <w:numPr>
                <w:ilvl w:val="0"/>
                <w:numId w:val="1"/>
              </w:numPr>
              <w:tabs>
                <w:tab w:val="clear" w:pos="4320"/>
                <w:tab w:val="clear" w:pos="8640"/>
              </w:tabs>
              <w:jc w:val="both"/>
            </w:pPr>
            <w:r>
              <w:t xml:space="preserve">to comply with a state or federal law, rule, or regulation if the issuer has been officially notified of noncompliance with the law, rule, </w:t>
            </w:r>
            <w:r>
              <w:t>or regulation.</w:t>
            </w:r>
          </w:p>
          <w:p w14:paraId="40B2F58C" w14:textId="6E730575" w:rsidR="00813F3F" w:rsidRDefault="00813F3F" w:rsidP="00561FC9">
            <w:pPr>
              <w:pStyle w:val="Header"/>
              <w:tabs>
                <w:tab w:val="clear" w:pos="4320"/>
                <w:tab w:val="clear" w:pos="8640"/>
              </w:tabs>
              <w:jc w:val="both"/>
            </w:pPr>
          </w:p>
          <w:p w14:paraId="4DA55D9A" w14:textId="0D59159D" w:rsidR="00813F3F" w:rsidRDefault="009455B0" w:rsidP="00561FC9">
            <w:pPr>
              <w:pStyle w:val="Header"/>
              <w:tabs>
                <w:tab w:val="clear" w:pos="4320"/>
                <w:tab w:val="clear" w:pos="8640"/>
              </w:tabs>
              <w:jc w:val="both"/>
            </w:pPr>
            <w:r>
              <w:t xml:space="preserve">S.B. 2035 </w:t>
            </w:r>
            <w:r w:rsidR="00A926DC">
              <w:t xml:space="preserve">amends the Local Government Code to </w:t>
            </w:r>
            <w:r w:rsidR="00BE168A">
              <w:t>extend</w:t>
            </w:r>
            <w:r>
              <w:t xml:space="preserve"> from three</w:t>
            </w:r>
            <w:r w:rsidR="000150A5">
              <w:t xml:space="preserve"> years</w:t>
            </w:r>
            <w:r>
              <w:t xml:space="preserve"> to five years the period during which the governing body of </w:t>
            </w:r>
            <w:r w:rsidR="00A161DF">
              <w:t xml:space="preserve">a </w:t>
            </w:r>
            <w:r w:rsidR="00A161DF" w:rsidRPr="00A161DF">
              <w:t>municipality, county, or</w:t>
            </w:r>
            <w:r w:rsidR="00124076">
              <w:t xml:space="preserve"> eligible </w:t>
            </w:r>
            <w:r w:rsidR="00A161DF" w:rsidRPr="00124076">
              <w:t xml:space="preserve">hospital district </w:t>
            </w:r>
            <w:r>
              <w:t>is prohibited from authorizing a certificate to pay a contractual obligation to be incurred if a bond proposition to authorize the issuance of bonds for the same purpose was submitted to and rejected by the voters</w:t>
            </w:r>
            <w:r w:rsidR="00BE168A">
              <w:t>.</w:t>
            </w:r>
          </w:p>
          <w:p w14:paraId="55A0F412" w14:textId="77777777" w:rsidR="00813F3F" w:rsidRDefault="00813F3F" w:rsidP="00561FC9">
            <w:pPr>
              <w:pStyle w:val="Header"/>
              <w:tabs>
                <w:tab w:val="clear" w:pos="4320"/>
                <w:tab w:val="clear" w:pos="8640"/>
              </w:tabs>
              <w:jc w:val="both"/>
            </w:pPr>
          </w:p>
          <w:p w14:paraId="7ED32380" w14:textId="779E056B" w:rsidR="006B6427" w:rsidRPr="009C36CD" w:rsidRDefault="009455B0" w:rsidP="00561FC9">
            <w:pPr>
              <w:pStyle w:val="Header"/>
              <w:tabs>
                <w:tab w:val="clear" w:pos="4320"/>
                <w:tab w:val="clear" w:pos="8640"/>
              </w:tabs>
              <w:jc w:val="both"/>
            </w:pPr>
            <w:r>
              <w:t xml:space="preserve">S.B. 2035 applies </w:t>
            </w:r>
            <w:r w:rsidRPr="006B6427">
              <w:t>only to an anticipatio</w:t>
            </w:r>
            <w:r w:rsidRPr="006B6427">
              <w:t xml:space="preserve">n note or certificate of obligation authorized to be issued on or after the </w:t>
            </w:r>
            <w:r>
              <w:t xml:space="preserve">bill's </w:t>
            </w:r>
            <w:r w:rsidRPr="006B6427">
              <w:t>effective date</w:t>
            </w:r>
            <w:r>
              <w:t xml:space="preserve">. </w:t>
            </w:r>
            <w:r w:rsidRPr="006B6427">
              <w:t xml:space="preserve">An anticipation note or certificate of obligation authorized to be issued before the </w:t>
            </w:r>
            <w:r>
              <w:t xml:space="preserve">bill's </w:t>
            </w:r>
            <w:r w:rsidRPr="006B6427">
              <w:t xml:space="preserve">effective date </w:t>
            </w:r>
            <w:r>
              <w:t xml:space="preserve">is </w:t>
            </w:r>
            <w:r w:rsidRPr="006B6427">
              <w:t>governed by the law in effect immediately befor</w:t>
            </w:r>
            <w:r w:rsidRPr="006B6427">
              <w:t xml:space="preserve">e </w:t>
            </w:r>
            <w:r>
              <w:t>that</w:t>
            </w:r>
            <w:r w:rsidRPr="006B6427">
              <w:t xml:space="preserve"> date, and the former law is continued in effect for that purpose.</w:t>
            </w:r>
          </w:p>
          <w:p w14:paraId="7E0F9B9F" w14:textId="77777777" w:rsidR="008423E4" w:rsidRPr="00835628" w:rsidRDefault="008423E4" w:rsidP="00561FC9">
            <w:pPr>
              <w:rPr>
                <w:b/>
              </w:rPr>
            </w:pPr>
          </w:p>
        </w:tc>
      </w:tr>
      <w:tr w:rsidR="004B493B" w14:paraId="5116BAA4" w14:textId="77777777" w:rsidTr="00345119">
        <w:tc>
          <w:tcPr>
            <w:tcW w:w="9576" w:type="dxa"/>
          </w:tcPr>
          <w:p w14:paraId="1426C8F6" w14:textId="77777777" w:rsidR="008423E4" w:rsidRPr="00A8133F" w:rsidRDefault="009455B0" w:rsidP="00561FC9">
            <w:pPr>
              <w:rPr>
                <w:b/>
              </w:rPr>
            </w:pPr>
            <w:r w:rsidRPr="009C1E9A">
              <w:rPr>
                <w:b/>
                <w:u w:val="single"/>
              </w:rPr>
              <w:t>EFFECTIVE DATE</w:t>
            </w:r>
            <w:r>
              <w:rPr>
                <w:b/>
              </w:rPr>
              <w:t xml:space="preserve"> </w:t>
            </w:r>
          </w:p>
          <w:p w14:paraId="2EF833F9" w14:textId="77777777" w:rsidR="008423E4" w:rsidRDefault="008423E4" w:rsidP="00561FC9"/>
          <w:p w14:paraId="02EEB08D" w14:textId="63C1B8C0" w:rsidR="008423E4" w:rsidRPr="003624F2" w:rsidRDefault="009455B0" w:rsidP="00561FC9">
            <w:pPr>
              <w:pStyle w:val="Header"/>
              <w:tabs>
                <w:tab w:val="clear" w:pos="4320"/>
                <w:tab w:val="clear" w:pos="8640"/>
              </w:tabs>
              <w:jc w:val="both"/>
            </w:pPr>
            <w:r>
              <w:t>September 1, 2023.</w:t>
            </w:r>
          </w:p>
          <w:p w14:paraId="19F7C394" w14:textId="77777777" w:rsidR="008423E4" w:rsidRPr="00233FDB" w:rsidRDefault="008423E4" w:rsidP="00561FC9">
            <w:pPr>
              <w:rPr>
                <w:b/>
              </w:rPr>
            </w:pPr>
          </w:p>
        </w:tc>
      </w:tr>
    </w:tbl>
    <w:p w14:paraId="7003070F" w14:textId="77777777" w:rsidR="008423E4" w:rsidRPr="00BE0E75" w:rsidRDefault="008423E4" w:rsidP="00561FC9">
      <w:pPr>
        <w:jc w:val="both"/>
        <w:rPr>
          <w:rFonts w:ascii="Arial" w:hAnsi="Arial"/>
          <w:sz w:val="16"/>
          <w:szCs w:val="16"/>
        </w:rPr>
      </w:pPr>
    </w:p>
    <w:p w14:paraId="3F32B05A" w14:textId="77777777" w:rsidR="004108C3" w:rsidRPr="008423E4" w:rsidRDefault="004108C3" w:rsidP="00561FC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E782" w14:textId="77777777" w:rsidR="00000000" w:rsidRDefault="009455B0">
      <w:r>
        <w:separator/>
      </w:r>
    </w:p>
  </w:endnote>
  <w:endnote w:type="continuationSeparator" w:id="0">
    <w:p w14:paraId="0AF27FE1" w14:textId="77777777" w:rsidR="00000000" w:rsidRDefault="0094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D107"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4B493B" w14:paraId="7DEC74C8" w14:textId="77777777" w:rsidTr="009C1E9A">
      <w:trPr>
        <w:cantSplit/>
      </w:trPr>
      <w:tc>
        <w:tcPr>
          <w:tcW w:w="0" w:type="pct"/>
        </w:tcPr>
        <w:p w14:paraId="5089764D" w14:textId="77777777" w:rsidR="00137D90" w:rsidRDefault="00137D90" w:rsidP="009C1E9A">
          <w:pPr>
            <w:pStyle w:val="Footer"/>
            <w:tabs>
              <w:tab w:val="clear" w:pos="8640"/>
              <w:tab w:val="right" w:pos="9360"/>
            </w:tabs>
          </w:pPr>
        </w:p>
      </w:tc>
      <w:tc>
        <w:tcPr>
          <w:tcW w:w="2395" w:type="pct"/>
        </w:tcPr>
        <w:p w14:paraId="448C4722" w14:textId="77777777" w:rsidR="00137D90" w:rsidRDefault="00137D90" w:rsidP="009C1E9A">
          <w:pPr>
            <w:pStyle w:val="Footer"/>
            <w:tabs>
              <w:tab w:val="clear" w:pos="8640"/>
              <w:tab w:val="right" w:pos="9360"/>
            </w:tabs>
          </w:pPr>
        </w:p>
        <w:p w14:paraId="5491B10D" w14:textId="77777777" w:rsidR="001A4310" w:rsidRDefault="001A4310" w:rsidP="009C1E9A">
          <w:pPr>
            <w:pStyle w:val="Footer"/>
            <w:tabs>
              <w:tab w:val="clear" w:pos="8640"/>
              <w:tab w:val="right" w:pos="9360"/>
            </w:tabs>
          </w:pPr>
        </w:p>
        <w:p w14:paraId="7442276C" w14:textId="77777777" w:rsidR="00137D90" w:rsidRDefault="00137D90" w:rsidP="009C1E9A">
          <w:pPr>
            <w:pStyle w:val="Footer"/>
            <w:tabs>
              <w:tab w:val="clear" w:pos="8640"/>
              <w:tab w:val="right" w:pos="9360"/>
            </w:tabs>
          </w:pPr>
        </w:p>
      </w:tc>
      <w:tc>
        <w:tcPr>
          <w:tcW w:w="2453" w:type="pct"/>
        </w:tcPr>
        <w:p w14:paraId="28EF4310" w14:textId="77777777" w:rsidR="00137D90" w:rsidRDefault="00137D90" w:rsidP="009C1E9A">
          <w:pPr>
            <w:pStyle w:val="Footer"/>
            <w:tabs>
              <w:tab w:val="clear" w:pos="8640"/>
              <w:tab w:val="right" w:pos="9360"/>
            </w:tabs>
            <w:jc w:val="right"/>
          </w:pPr>
        </w:p>
      </w:tc>
    </w:tr>
    <w:tr w:rsidR="004B493B" w14:paraId="180BEEE8" w14:textId="77777777" w:rsidTr="009C1E9A">
      <w:trPr>
        <w:cantSplit/>
      </w:trPr>
      <w:tc>
        <w:tcPr>
          <w:tcW w:w="0" w:type="pct"/>
        </w:tcPr>
        <w:p w14:paraId="734910CB" w14:textId="77777777" w:rsidR="00EC379B" w:rsidRDefault="00EC379B" w:rsidP="009C1E9A">
          <w:pPr>
            <w:pStyle w:val="Footer"/>
            <w:tabs>
              <w:tab w:val="clear" w:pos="8640"/>
              <w:tab w:val="right" w:pos="9360"/>
            </w:tabs>
          </w:pPr>
        </w:p>
      </w:tc>
      <w:tc>
        <w:tcPr>
          <w:tcW w:w="2395" w:type="pct"/>
        </w:tcPr>
        <w:p w14:paraId="55162A90" w14:textId="38AA032A" w:rsidR="00EC379B" w:rsidRPr="009C1E9A" w:rsidRDefault="009455B0" w:rsidP="009C1E9A">
          <w:pPr>
            <w:pStyle w:val="Footer"/>
            <w:tabs>
              <w:tab w:val="clear" w:pos="8640"/>
              <w:tab w:val="right" w:pos="9360"/>
            </w:tabs>
            <w:rPr>
              <w:rFonts w:ascii="Shruti" w:hAnsi="Shruti"/>
              <w:sz w:val="22"/>
            </w:rPr>
          </w:pPr>
          <w:r>
            <w:rPr>
              <w:rFonts w:ascii="Shruti" w:hAnsi="Shruti"/>
              <w:sz w:val="22"/>
            </w:rPr>
            <w:t>88R 30728-D</w:t>
          </w:r>
        </w:p>
      </w:tc>
      <w:tc>
        <w:tcPr>
          <w:tcW w:w="2453" w:type="pct"/>
        </w:tcPr>
        <w:p w14:paraId="4E6BC907" w14:textId="2D9ED4B2" w:rsidR="00EC379B" w:rsidRDefault="009455B0" w:rsidP="009C1E9A">
          <w:pPr>
            <w:pStyle w:val="Footer"/>
            <w:tabs>
              <w:tab w:val="clear" w:pos="8640"/>
              <w:tab w:val="right" w:pos="9360"/>
            </w:tabs>
            <w:jc w:val="right"/>
          </w:pPr>
          <w:r>
            <w:fldChar w:fldCharType="begin"/>
          </w:r>
          <w:r>
            <w:instrText xml:space="preserve"> DOCPROPERTY  OTID  \* MERGEFORMAT </w:instrText>
          </w:r>
          <w:r>
            <w:fldChar w:fldCharType="separate"/>
          </w:r>
          <w:r w:rsidR="005D6B45">
            <w:t>23.137.569</w:t>
          </w:r>
          <w:r>
            <w:fldChar w:fldCharType="end"/>
          </w:r>
        </w:p>
      </w:tc>
    </w:tr>
    <w:tr w:rsidR="004B493B" w14:paraId="0AA31F56" w14:textId="77777777" w:rsidTr="009C1E9A">
      <w:trPr>
        <w:cantSplit/>
      </w:trPr>
      <w:tc>
        <w:tcPr>
          <w:tcW w:w="0" w:type="pct"/>
        </w:tcPr>
        <w:p w14:paraId="1CD8FA33" w14:textId="77777777" w:rsidR="00EC379B" w:rsidRDefault="00EC379B" w:rsidP="009C1E9A">
          <w:pPr>
            <w:pStyle w:val="Footer"/>
            <w:tabs>
              <w:tab w:val="clear" w:pos="4320"/>
              <w:tab w:val="clear" w:pos="8640"/>
              <w:tab w:val="left" w:pos="2865"/>
            </w:tabs>
          </w:pPr>
        </w:p>
      </w:tc>
      <w:tc>
        <w:tcPr>
          <w:tcW w:w="2395" w:type="pct"/>
        </w:tcPr>
        <w:p w14:paraId="4B0327A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3161E0B" w14:textId="77777777" w:rsidR="00EC379B" w:rsidRDefault="00EC379B" w:rsidP="006D504F">
          <w:pPr>
            <w:pStyle w:val="Footer"/>
            <w:rPr>
              <w:rStyle w:val="PageNumber"/>
            </w:rPr>
          </w:pPr>
        </w:p>
        <w:p w14:paraId="128B720D" w14:textId="77777777" w:rsidR="00EC379B" w:rsidRDefault="00EC379B" w:rsidP="009C1E9A">
          <w:pPr>
            <w:pStyle w:val="Footer"/>
            <w:tabs>
              <w:tab w:val="clear" w:pos="8640"/>
              <w:tab w:val="right" w:pos="9360"/>
            </w:tabs>
            <w:jc w:val="right"/>
          </w:pPr>
        </w:p>
      </w:tc>
    </w:tr>
    <w:tr w:rsidR="004B493B" w14:paraId="4844AD8E" w14:textId="77777777" w:rsidTr="009C1E9A">
      <w:trPr>
        <w:cantSplit/>
        <w:trHeight w:val="323"/>
      </w:trPr>
      <w:tc>
        <w:tcPr>
          <w:tcW w:w="0" w:type="pct"/>
          <w:gridSpan w:val="3"/>
        </w:tcPr>
        <w:p w14:paraId="2EF5EC14" w14:textId="77777777" w:rsidR="00EC379B" w:rsidRDefault="009455B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2B6E79D5" w14:textId="77777777" w:rsidR="00EC379B" w:rsidRDefault="00EC379B" w:rsidP="009C1E9A">
          <w:pPr>
            <w:pStyle w:val="Footer"/>
            <w:tabs>
              <w:tab w:val="clear" w:pos="8640"/>
              <w:tab w:val="right" w:pos="9360"/>
            </w:tabs>
            <w:jc w:val="center"/>
          </w:pPr>
        </w:p>
      </w:tc>
    </w:tr>
  </w:tbl>
  <w:p w14:paraId="0DC2FDE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4FA9"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1659" w14:textId="77777777" w:rsidR="00000000" w:rsidRDefault="009455B0">
      <w:r>
        <w:separator/>
      </w:r>
    </w:p>
  </w:footnote>
  <w:footnote w:type="continuationSeparator" w:id="0">
    <w:p w14:paraId="32175049" w14:textId="77777777" w:rsidR="00000000" w:rsidRDefault="0094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E52D"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B54E"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AC6D"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AE8"/>
    <w:multiLevelType w:val="hybridMultilevel"/>
    <w:tmpl w:val="DAA47F26"/>
    <w:lvl w:ilvl="0" w:tplc="467C71A6">
      <w:start w:val="1"/>
      <w:numFmt w:val="decimal"/>
      <w:lvlText w:val="(%1)"/>
      <w:lvlJc w:val="left"/>
      <w:pPr>
        <w:ind w:left="758" w:hanging="398"/>
      </w:pPr>
      <w:rPr>
        <w:rFonts w:hint="default"/>
      </w:rPr>
    </w:lvl>
    <w:lvl w:ilvl="1" w:tplc="91D29374" w:tentative="1">
      <w:start w:val="1"/>
      <w:numFmt w:val="lowerLetter"/>
      <w:lvlText w:val="%2."/>
      <w:lvlJc w:val="left"/>
      <w:pPr>
        <w:ind w:left="1440" w:hanging="360"/>
      </w:pPr>
    </w:lvl>
    <w:lvl w:ilvl="2" w:tplc="71264612" w:tentative="1">
      <w:start w:val="1"/>
      <w:numFmt w:val="lowerRoman"/>
      <w:lvlText w:val="%3."/>
      <w:lvlJc w:val="right"/>
      <w:pPr>
        <w:ind w:left="2160" w:hanging="180"/>
      </w:pPr>
    </w:lvl>
    <w:lvl w:ilvl="3" w:tplc="AEE284B0" w:tentative="1">
      <w:start w:val="1"/>
      <w:numFmt w:val="decimal"/>
      <w:lvlText w:val="%4."/>
      <w:lvlJc w:val="left"/>
      <w:pPr>
        <w:ind w:left="2880" w:hanging="360"/>
      </w:pPr>
    </w:lvl>
    <w:lvl w:ilvl="4" w:tplc="EE26E8BE" w:tentative="1">
      <w:start w:val="1"/>
      <w:numFmt w:val="lowerLetter"/>
      <w:lvlText w:val="%5."/>
      <w:lvlJc w:val="left"/>
      <w:pPr>
        <w:ind w:left="3600" w:hanging="360"/>
      </w:pPr>
    </w:lvl>
    <w:lvl w:ilvl="5" w:tplc="672EA6C4" w:tentative="1">
      <w:start w:val="1"/>
      <w:numFmt w:val="lowerRoman"/>
      <w:lvlText w:val="%6."/>
      <w:lvlJc w:val="right"/>
      <w:pPr>
        <w:ind w:left="4320" w:hanging="180"/>
      </w:pPr>
    </w:lvl>
    <w:lvl w:ilvl="6" w:tplc="50508928" w:tentative="1">
      <w:start w:val="1"/>
      <w:numFmt w:val="decimal"/>
      <w:lvlText w:val="%7."/>
      <w:lvlJc w:val="left"/>
      <w:pPr>
        <w:ind w:left="5040" w:hanging="360"/>
      </w:pPr>
    </w:lvl>
    <w:lvl w:ilvl="7" w:tplc="3AE4A8D6" w:tentative="1">
      <w:start w:val="1"/>
      <w:numFmt w:val="lowerLetter"/>
      <w:lvlText w:val="%8."/>
      <w:lvlJc w:val="left"/>
      <w:pPr>
        <w:ind w:left="5760" w:hanging="360"/>
      </w:pPr>
    </w:lvl>
    <w:lvl w:ilvl="8" w:tplc="C5B2C7B0" w:tentative="1">
      <w:start w:val="1"/>
      <w:numFmt w:val="lowerRoman"/>
      <w:lvlText w:val="%9."/>
      <w:lvlJc w:val="right"/>
      <w:pPr>
        <w:ind w:left="6480" w:hanging="180"/>
      </w:pPr>
    </w:lvl>
  </w:abstractNum>
  <w:abstractNum w:abstractNumId="1" w15:restartNumberingAfterBreak="0">
    <w:nsid w:val="67131083"/>
    <w:multiLevelType w:val="hybridMultilevel"/>
    <w:tmpl w:val="686A2420"/>
    <w:lvl w:ilvl="0" w:tplc="830CE6F0">
      <w:start w:val="1"/>
      <w:numFmt w:val="bullet"/>
      <w:lvlText w:val=""/>
      <w:lvlJc w:val="left"/>
      <w:pPr>
        <w:tabs>
          <w:tab w:val="num" w:pos="720"/>
        </w:tabs>
        <w:ind w:left="720" w:hanging="360"/>
      </w:pPr>
      <w:rPr>
        <w:rFonts w:ascii="Symbol" w:hAnsi="Symbol" w:hint="default"/>
      </w:rPr>
    </w:lvl>
    <w:lvl w:ilvl="1" w:tplc="48C8B572" w:tentative="1">
      <w:start w:val="1"/>
      <w:numFmt w:val="bullet"/>
      <w:lvlText w:val="o"/>
      <w:lvlJc w:val="left"/>
      <w:pPr>
        <w:ind w:left="1440" w:hanging="360"/>
      </w:pPr>
      <w:rPr>
        <w:rFonts w:ascii="Courier New" w:hAnsi="Courier New" w:cs="Courier New" w:hint="default"/>
      </w:rPr>
    </w:lvl>
    <w:lvl w:ilvl="2" w:tplc="61740642" w:tentative="1">
      <w:start w:val="1"/>
      <w:numFmt w:val="bullet"/>
      <w:lvlText w:val=""/>
      <w:lvlJc w:val="left"/>
      <w:pPr>
        <w:ind w:left="2160" w:hanging="360"/>
      </w:pPr>
      <w:rPr>
        <w:rFonts w:ascii="Wingdings" w:hAnsi="Wingdings" w:hint="default"/>
      </w:rPr>
    </w:lvl>
    <w:lvl w:ilvl="3" w:tplc="50D46CA6" w:tentative="1">
      <w:start w:val="1"/>
      <w:numFmt w:val="bullet"/>
      <w:lvlText w:val=""/>
      <w:lvlJc w:val="left"/>
      <w:pPr>
        <w:ind w:left="2880" w:hanging="360"/>
      </w:pPr>
      <w:rPr>
        <w:rFonts w:ascii="Symbol" w:hAnsi="Symbol" w:hint="default"/>
      </w:rPr>
    </w:lvl>
    <w:lvl w:ilvl="4" w:tplc="868048B4" w:tentative="1">
      <w:start w:val="1"/>
      <w:numFmt w:val="bullet"/>
      <w:lvlText w:val="o"/>
      <w:lvlJc w:val="left"/>
      <w:pPr>
        <w:ind w:left="3600" w:hanging="360"/>
      </w:pPr>
      <w:rPr>
        <w:rFonts w:ascii="Courier New" w:hAnsi="Courier New" w:cs="Courier New" w:hint="default"/>
      </w:rPr>
    </w:lvl>
    <w:lvl w:ilvl="5" w:tplc="B43C0212" w:tentative="1">
      <w:start w:val="1"/>
      <w:numFmt w:val="bullet"/>
      <w:lvlText w:val=""/>
      <w:lvlJc w:val="left"/>
      <w:pPr>
        <w:ind w:left="4320" w:hanging="360"/>
      </w:pPr>
      <w:rPr>
        <w:rFonts w:ascii="Wingdings" w:hAnsi="Wingdings" w:hint="default"/>
      </w:rPr>
    </w:lvl>
    <w:lvl w:ilvl="6" w:tplc="C3EE3AF2" w:tentative="1">
      <w:start w:val="1"/>
      <w:numFmt w:val="bullet"/>
      <w:lvlText w:val=""/>
      <w:lvlJc w:val="left"/>
      <w:pPr>
        <w:ind w:left="5040" w:hanging="360"/>
      </w:pPr>
      <w:rPr>
        <w:rFonts w:ascii="Symbol" w:hAnsi="Symbol" w:hint="default"/>
      </w:rPr>
    </w:lvl>
    <w:lvl w:ilvl="7" w:tplc="ADDE8A0C" w:tentative="1">
      <w:start w:val="1"/>
      <w:numFmt w:val="bullet"/>
      <w:lvlText w:val="o"/>
      <w:lvlJc w:val="left"/>
      <w:pPr>
        <w:ind w:left="5760" w:hanging="360"/>
      </w:pPr>
      <w:rPr>
        <w:rFonts w:ascii="Courier New" w:hAnsi="Courier New" w:cs="Courier New" w:hint="default"/>
      </w:rPr>
    </w:lvl>
    <w:lvl w:ilvl="8" w:tplc="99BA0EF8" w:tentative="1">
      <w:start w:val="1"/>
      <w:numFmt w:val="bullet"/>
      <w:lvlText w:val=""/>
      <w:lvlJc w:val="left"/>
      <w:pPr>
        <w:ind w:left="6480" w:hanging="360"/>
      </w:pPr>
      <w:rPr>
        <w:rFonts w:ascii="Wingdings" w:hAnsi="Wingdings" w:hint="default"/>
      </w:rPr>
    </w:lvl>
  </w:abstractNum>
  <w:num w:numId="1" w16cid:durableId="116993706">
    <w:abstractNumId w:val="1"/>
  </w:num>
  <w:num w:numId="2" w16cid:durableId="1443913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E6"/>
    <w:rsid w:val="00000A70"/>
    <w:rsid w:val="000032B8"/>
    <w:rsid w:val="00003B06"/>
    <w:rsid w:val="000054B9"/>
    <w:rsid w:val="00007461"/>
    <w:rsid w:val="0001117E"/>
    <w:rsid w:val="0001125F"/>
    <w:rsid w:val="0001338E"/>
    <w:rsid w:val="00013D24"/>
    <w:rsid w:val="00014AF0"/>
    <w:rsid w:val="000150A5"/>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41F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076"/>
    <w:rsid w:val="001245C8"/>
    <w:rsid w:val="00124653"/>
    <w:rsid w:val="001247C5"/>
    <w:rsid w:val="00127893"/>
    <w:rsid w:val="001312BB"/>
    <w:rsid w:val="00132575"/>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C65"/>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3E6"/>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5DC8"/>
    <w:rsid w:val="003B1501"/>
    <w:rsid w:val="003B185E"/>
    <w:rsid w:val="003B198A"/>
    <w:rsid w:val="003B1CA3"/>
    <w:rsid w:val="003B1ED9"/>
    <w:rsid w:val="003B2891"/>
    <w:rsid w:val="003B3DF3"/>
    <w:rsid w:val="003B48E2"/>
    <w:rsid w:val="003B4FA1"/>
    <w:rsid w:val="003B5BAD"/>
    <w:rsid w:val="003B66B6"/>
    <w:rsid w:val="003B6E4D"/>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493B"/>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1FC9"/>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368C"/>
    <w:rsid w:val="005D4DAE"/>
    <w:rsid w:val="005D6B45"/>
    <w:rsid w:val="005D767D"/>
    <w:rsid w:val="005D7A30"/>
    <w:rsid w:val="005D7D3B"/>
    <w:rsid w:val="005E0B64"/>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373"/>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6427"/>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5D2"/>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3F3F"/>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0A75"/>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55B0"/>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0FF3"/>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161DF"/>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26DC"/>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68A"/>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3E72"/>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DB4"/>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1D36"/>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828"/>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23"/>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C7E74"/>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12631D-96E2-4DAD-A4C4-23241454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B6427"/>
    <w:rPr>
      <w:sz w:val="16"/>
      <w:szCs w:val="16"/>
    </w:rPr>
  </w:style>
  <w:style w:type="paragraph" w:styleId="CommentText">
    <w:name w:val="annotation text"/>
    <w:basedOn w:val="Normal"/>
    <w:link w:val="CommentTextChar"/>
    <w:semiHidden/>
    <w:unhideWhenUsed/>
    <w:rsid w:val="006B6427"/>
    <w:rPr>
      <w:sz w:val="20"/>
      <w:szCs w:val="20"/>
    </w:rPr>
  </w:style>
  <w:style w:type="character" w:customStyle="1" w:styleId="CommentTextChar">
    <w:name w:val="Comment Text Char"/>
    <w:basedOn w:val="DefaultParagraphFont"/>
    <w:link w:val="CommentText"/>
    <w:semiHidden/>
    <w:rsid w:val="006B6427"/>
  </w:style>
  <w:style w:type="paragraph" w:styleId="CommentSubject">
    <w:name w:val="annotation subject"/>
    <w:basedOn w:val="CommentText"/>
    <w:next w:val="CommentText"/>
    <w:link w:val="CommentSubjectChar"/>
    <w:semiHidden/>
    <w:unhideWhenUsed/>
    <w:rsid w:val="006B6427"/>
    <w:rPr>
      <w:b/>
      <w:bCs/>
    </w:rPr>
  </w:style>
  <w:style w:type="character" w:customStyle="1" w:styleId="CommentSubjectChar">
    <w:name w:val="Comment Subject Char"/>
    <w:basedOn w:val="CommentTextChar"/>
    <w:link w:val="CommentSubject"/>
    <w:semiHidden/>
    <w:rsid w:val="006B6427"/>
    <w:rPr>
      <w:b/>
      <w:bCs/>
    </w:rPr>
  </w:style>
  <w:style w:type="paragraph" w:styleId="Revision">
    <w:name w:val="Revision"/>
    <w:hidden/>
    <w:uiPriority w:val="99"/>
    <w:semiHidden/>
    <w:rsid w:val="00F512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2742</Characters>
  <Application>Microsoft Office Word</Application>
  <DocSecurity>4</DocSecurity>
  <Lines>66</Lines>
  <Paragraphs>23</Paragraphs>
  <ScaleCrop>false</ScaleCrop>
  <HeadingPairs>
    <vt:vector size="2" baseType="variant">
      <vt:variant>
        <vt:lpstr>Title</vt:lpstr>
      </vt:variant>
      <vt:variant>
        <vt:i4>1</vt:i4>
      </vt:variant>
    </vt:vector>
  </HeadingPairs>
  <TitlesOfParts>
    <vt:vector size="1" baseType="lpstr">
      <vt:lpstr>BA - SB02035 (Committee Report (Unamended))</vt:lpstr>
    </vt:vector>
  </TitlesOfParts>
  <Company>State of Texas</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30728</dc:subject>
  <dc:creator>State of Texas</dc:creator>
  <dc:description>SB 2035 by Bettencourt-(H)Pensions, Investments &amp; Financial Services</dc:description>
  <cp:lastModifiedBy>Damian Duarte</cp:lastModifiedBy>
  <cp:revision>2</cp:revision>
  <cp:lastPrinted>2003-11-26T17:21:00Z</cp:lastPrinted>
  <dcterms:created xsi:type="dcterms:W3CDTF">2023-05-18T15:33:00Z</dcterms:created>
  <dcterms:modified xsi:type="dcterms:W3CDTF">2023-05-18T15:33:00Z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23.137.569</vt:lpwstr>
  </property>
</Properties>
</file>