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5F89" w14:paraId="5B750C7D" w14:textId="77777777" w:rsidTr="00345119">
        <w:tc>
          <w:tcPr>
            <w:tcW w:w="9576" w:type="dxa"/>
            <w:noWrap/>
          </w:tcPr>
          <w:p w14:paraId="45D6C5F4" w14:textId="77777777" w:rsidR="008423E4" w:rsidRPr="0022177D" w:rsidRDefault="00E123DA" w:rsidP="00861D26">
            <w:pPr>
              <w:pStyle w:val="Heading1"/>
            </w:pPr>
            <w:r w:rsidRPr="00631897">
              <w:t>BILL ANALYSIS</w:t>
            </w:r>
          </w:p>
        </w:tc>
      </w:tr>
    </w:tbl>
    <w:p w14:paraId="346CF200" w14:textId="77777777" w:rsidR="008423E4" w:rsidRPr="0022177D" w:rsidRDefault="008423E4" w:rsidP="00861D26">
      <w:pPr>
        <w:jc w:val="center"/>
      </w:pPr>
    </w:p>
    <w:p w14:paraId="528CB4A1" w14:textId="77777777" w:rsidR="008423E4" w:rsidRPr="00B31F0E" w:rsidRDefault="008423E4" w:rsidP="00861D26"/>
    <w:p w14:paraId="7AFA5B07" w14:textId="77777777" w:rsidR="008423E4" w:rsidRPr="00742794" w:rsidRDefault="008423E4" w:rsidP="00861D2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5F89" w14:paraId="4C9E6DCA" w14:textId="77777777" w:rsidTr="00345119">
        <w:tc>
          <w:tcPr>
            <w:tcW w:w="9576" w:type="dxa"/>
          </w:tcPr>
          <w:p w14:paraId="718313E0" w14:textId="3DDCCF81" w:rsidR="008423E4" w:rsidRPr="00861995" w:rsidRDefault="00E123DA" w:rsidP="00861D26">
            <w:pPr>
              <w:jc w:val="right"/>
            </w:pPr>
            <w:r>
              <w:t>S.B. 2037</w:t>
            </w:r>
          </w:p>
        </w:tc>
      </w:tr>
      <w:tr w:rsidR="007A5F89" w14:paraId="5019CCB1" w14:textId="77777777" w:rsidTr="00345119">
        <w:tc>
          <w:tcPr>
            <w:tcW w:w="9576" w:type="dxa"/>
          </w:tcPr>
          <w:p w14:paraId="74E6AA22" w14:textId="14C64220" w:rsidR="008423E4" w:rsidRPr="00861995" w:rsidRDefault="00E123DA" w:rsidP="00861D26">
            <w:pPr>
              <w:jc w:val="right"/>
            </w:pPr>
            <w:r>
              <w:t xml:space="preserve">By: </w:t>
            </w:r>
            <w:r w:rsidR="008757FA">
              <w:t>Bettencourt</w:t>
            </w:r>
          </w:p>
        </w:tc>
      </w:tr>
      <w:tr w:rsidR="007A5F89" w14:paraId="75913655" w14:textId="77777777" w:rsidTr="00345119">
        <w:tc>
          <w:tcPr>
            <w:tcW w:w="9576" w:type="dxa"/>
          </w:tcPr>
          <w:p w14:paraId="08CE8356" w14:textId="123FAD6E" w:rsidR="008423E4" w:rsidRPr="00861995" w:rsidRDefault="00E123DA" w:rsidP="00861D26">
            <w:pPr>
              <w:jc w:val="right"/>
            </w:pPr>
            <w:r>
              <w:t>Land &amp; Resource Management</w:t>
            </w:r>
          </w:p>
        </w:tc>
      </w:tr>
      <w:tr w:rsidR="007A5F89" w14:paraId="117BDBD9" w14:textId="77777777" w:rsidTr="00345119">
        <w:tc>
          <w:tcPr>
            <w:tcW w:w="9576" w:type="dxa"/>
          </w:tcPr>
          <w:p w14:paraId="5EDE4EA4" w14:textId="64A93016" w:rsidR="008423E4" w:rsidRDefault="00E123DA" w:rsidP="00861D26">
            <w:pPr>
              <w:jc w:val="right"/>
            </w:pPr>
            <w:r>
              <w:t>Committee Report (Unamended)</w:t>
            </w:r>
          </w:p>
        </w:tc>
      </w:tr>
    </w:tbl>
    <w:p w14:paraId="57ADC762" w14:textId="77777777" w:rsidR="008423E4" w:rsidRDefault="008423E4" w:rsidP="00861D26">
      <w:pPr>
        <w:tabs>
          <w:tab w:val="right" w:pos="9360"/>
        </w:tabs>
      </w:pPr>
    </w:p>
    <w:p w14:paraId="40C6D33E" w14:textId="77777777" w:rsidR="008423E4" w:rsidRDefault="008423E4" w:rsidP="00861D26"/>
    <w:p w14:paraId="26A2C6CB" w14:textId="77777777" w:rsidR="008423E4" w:rsidRDefault="008423E4" w:rsidP="00861D2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5F89" w14:paraId="454294F6" w14:textId="77777777" w:rsidTr="00345119">
        <w:tc>
          <w:tcPr>
            <w:tcW w:w="9576" w:type="dxa"/>
          </w:tcPr>
          <w:p w14:paraId="4DB12858" w14:textId="77777777" w:rsidR="008423E4" w:rsidRPr="00A8133F" w:rsidRDefault="00E123DA" w:rsidP="00861D26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BACKGROUND </w:t>
            </w:r>
            <w:r w:rsidRPr="00C136A2">
              <w:rPr>
                <w:b/>
                <w:u w:val="single"/>
              </w:rPr>
              <w:t>AND PURPOSE</w:t>
            </w:r>
            <w:r w:rsidRPr="00C136A2">
              <w:rPr>
                <w:b/>
              </w:rPr>
              <w:t xml:space="preserve"> </w:t>
            </w:r>
          </w:p>
          <w:p w14:paraId="2065A691" w14:textId="77777777" w:rsidR="008423E4" w:rsidRDefault="008423E4" w:rsidP="00861D26"/>
          <w:p w14:paraId="43A2E288" w14:textId="0C175FD9" w:rsidR="00222A4B" w:rsidRDefault="00E123DA" w:rsidP="00861D26">
            <w:pPr>
              <w:pStyle w:val="Header"/>
              <w:jc w:val="both"/>
            </w:pPr>
            <w:r>
              <w:t xml:space="preserve">S.B. 2037 seeks to </w:t>
            </w:r>
            <w:r w:rsidR="00CA6152">
              <w:t>restrict certain municipalities in their extraterritorial jurisdictions and certain counties in their unincorporated areas from regulating lot size and density</w:t>
            </w:r>
            <w:r>
              <w:t xml:space="preserve"> by</w:t>
            </w:r>
            <w:r w:rsidR="00E341B9">
              <w:t xml:space="preserve"> providing a </w:t>
            </w:r>
            <w:r w:rsidR="00CA6152">
              <w:t xml:space="preserve">specific </w:t>
            </w:r>
            <w:r>
              <w:t>prohibiti</w:t>
            </w:r>
            <w:r w:rsidR="00E341B9">
              <w:t>o</w:t>
            </w:r>
            <w:r>
              <w:t>n</w:t>
            </w:r>
            <w:r w:rsidR="00E341B9">
              <w:t xml:space="preserve"> against</w:t>
            </w:r>
            <w:r>
              <w:t xml:space="preserve"> municipal</w:t>
            </w:r>
            <w:r w:rsidR="00E341B9">
              <w:t>it</w:t>
            </w:r>
            <w:r w:rsidR="00CA6152">
              <w:t>ies</w:t>
            </w:r>
            <w:r>
              <w:t xml:space="preserve"> </w:t>
            </w:r>
            <w:r w:rsidR="00E341B9">
              <w:t>and</w:t>
            </w:r>
            <w:r>
              <w:t xml:space="preserve"> count</w:t>
            </w:r>
            <w:r w:rsidR="00CA6152">
              <w:t>ies</w:t>
            </w:r>
            <w:r>
              <w:t xml:space="preserve"> regulating, in </w:t>
            </w:r>
            <w:r w:rsidR="00E341B9">
              <w:t>applicable areas,</w:t>
            </w:r>
            <w:r w:rsidRPr="00222A4B">
              <w:t xml:space="preserve"> the minimum size of a lot, dimensions of a lot, minimum width of a lot frontage, minimu</w:t>
            </w:r>
            <w:r w:rsidRPr="00222A4B">
              <w:t>m distance a lot must be set back from a road or property line, or another component of lot density on a particular tract of land.</w:t>
            </w:r>
          </w:p>
          <w:p w14:paraId="68DB6F1D" w14:textId="77777777" w:rsidR="008423E4" w:rsidRPr="00E26B13" w:rsidRDefault="008423E4" w:rsidP="00861D26">
            <w:pPr>
              <w:pStyle w:val="Header"/>
              <w:jc w:val="both"/>
              <w:rPr>
                <w:b/>
              </w:rPr>
            </w:pPr>
          </w:p>
        </w:tc>
      </w:tr>
      <w:tr w:rsidR="007A5F89" w14:paraId="303A4B6C" w14:textId="77777777" w:rsidTr="00345119">
        <w:tc>
          <w:tcPr>
            <w:tcW w:w="9576" w:type="dxa"/>
          </w:tcPr>
          <w:p w14:paraId="26596AA6" w14:textId="77777777" w:rsidR="0017725B" w:rsidRDefault="00E123DA" w:rsidP="00861D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5D2E82" w14:textId="77777777" w:rsidR="0017725B" w:rsidRDefault="0017725B" w:rsidP="00861D26">
            <w:pPr>
              <w:rPr>
                <w:b/>
                <w:u w:val="single"/>
              </w:rPr>
            </w:pPr>
          </w:p>
          <w:p w14:paraId="64622008" w14:textId="2373BF8E" w:rsidR="00D41FBB" w:rsidRPr="00D41FBB" w:rsidRDefault="00E123DA" w:rsidP="00861D26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2DFBCED3" w14:textId="77777777" w:rsidR="0017725B" w:rsidRPr="0017725B" w:rsidRDefault="0017725B" w:rsidP="00861D26">
            <w:pPr>
              <w:rPr>
                <w:b/>
                <w:u w:val="single"/>
              </w:rPr>
            </w:pPr>
          </w:p>
        </w:tc>
      </w:tr>
      <w:tr w:rsidR="007A5F89" w14:paraId="143E707E" w14:textId="77777777" w:rsidTr="00345119">
        <w:tc>
          <w:tcPr>
            <w:tcW w:w="9576" w:type="dxa"/>
          </w:tcPr>
          <w:p w14:paraId="476C2EBF" w14:textId="77777777" w:rsidR="008423E4" w:rsidRPr="00A8133F" w:rsidRDefault="00E123DA" w:rsidP="00861D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4A3E4A" w14:textId="77777777" w:rsidR="008423E4" w:rsidRDefault="008423E4" w:rsidP="00861D26"/>
          <w:p w14:paraId="0CA72312" w14:textId="02F910E1" w:rsidR="00F552C3" w:rsidRDefault="00E123DA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44809770" w14:textId="77777777" w:rsidR="008423E4" w:rsidRPr="00E21FDC" w:rsidRDefault="008423E4" w:rsidP="00861D26">
            <w:pPr>
              <w:rPr>
                <w:b/>
              </w:rPr>
            </w:pPr>
          </w:p>
        </w:tc>
      </w:tr>
      <w:tr w:rsidR="007A5F89" w14:paraId="62A5D543" w14:textId="77777777" w:rsidTr="00345119">
        <w:tc>
          <w:tcPr>
            <w:tcW w:w="9576" w:type="dxa"/>
          </w:tcPr>
          <w:p w14:paraId="3A6E4C38" w14:textId="77777777" w:rsidR="008423E4" w:rsidRPr="00A8133F" w:rsidRDefault="00E123DA" w:rsidP="00861D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6ECDE5" w14:textId="77777777" w:rsidR="008423E4" w:rsidRDefault="008423E4" w:rsidP="00861D26"/>
          <w:p w14:paraId="19DDA3F5" w14:textId="7622D898" w:rsidR="009C36CD" w:rsidRDefault="00E123DA" w:rsidP="00861D26">
            <w:pPr>
              <w:pStyle w:val="Header"/>
              <w:jc w:val="both"/>
            </w:pPr>
            <w:r>
              <w:t xml:space="preserve">S.B. 2037 amends the </w:t>
            </w:r>
            <w:r w:rsidRPr="00C71BBC">
              <w:t>Local Government Code</w:t>
            </w:r>
            <w:r>
              <w:t xml:space="preserve"> to specify, with regard to</w:t>
            </w:r>
            <w:r w:rsidR="00F552C3">
              <w:t xml:space="preserve"> subdivision regulation and</w:t>
            </w:r>
            <w:r>
              <w:t xml:space="preserve"> the prohibition</w:t>
            </w:r>
            <w:r w:rsidR="00F552C3">
              <w:t>s</w:t>
            </w:r>
            <w:r>
              <w:t xml:space="preserve"> against a </w:t>
            </w:r>
            <w:r>
              <w:t xml:space="preserve">municipality </w:t>
            </w:r>
            <w:r w:rsidRPr="00277982">
              <w:t xml:space="preserve">regulating specified </w:t>
            </w:r>
            <w:r w:rsidR="00277982" w:rsidRPr="00277982">
              <w:t>matters</w:t>
            </w:r>
            <w:r w:rsidRPr="00277982">
              <w:t xml:space="preserve"> in </w:t>
            </w:r>
            <w:r>
              <w:t>its extraterritorial jurisdiction</w:t>
            </w:r>
            <w:r w:rsidR="0040550E">
              <w:t xml:space="preserve"> and against a county commissioners court </w:t>
            </w:r>
            <w:r w:rsidR="0040550E" w:rsidRPr="00277982">
              <w:t xml:space="preserve">regulating specified </w:t>
            </w:r>
            <w:r w:rsidR="00277982" w:rsidRPr="00277982">
              <w:t>matters</w:t>
            </w:r>
            <w:r w:rsidR="00F552C3">
              <w:t xml:space="preserve"> </w:t>
            </w:r>
            <w:r w:rsidR="00F552C3" w:rsidRPr="00F552C3">
              <w:t>within</w:t>
            </w:r>
            <w:r w:rsidR="00F552C3">
              <w:t xml:space="preserve"> its </w:t>
            </w:r>
            <w:r w:rsidR="00F552C3" w:rsidRPr="00F552C3">
              <w:t>unincorporated area</w:t>
            </w:r>
            <w:r>
              <w:t xml:space="preserve">, that </w:t>
            </w:r>
            <w:r w:rsidR="0040550E">
              <w:t>the</w:t>
            </w:r>
            <w:r>
              <w:t xml:space="preserve"> prohibited regulation is through either direct or indirect regulat</w:t>
            </w:r>
            <w:r>
              <w:t xml:space="preserve">ion. </w:t>
            </w:r>
            <w:r w:rsidR="0040550E">
              <w:t>The bill, with regard to a commissioners court, removes the exception to the prohibition that the regulation is otherwise authorized by state law.</w:t>
            </w:r>
            <w:r w:rsidR="002037D4">
              <w:t xml:space="preserve"> </w:t>
            </w:r>
            <w:r w:rsidR="00CA6152">
              <w:t xml:space="preserve">The bill, with regard to a municipality's prohibited regulation of specified matters in its extraterritorial jurisdiction, retains the exception to the prohibition that the regulation is otherwise authorized by state law. </w:t>
            </w:r>
            <w:r w:rsidR="002037D4">
              <w:t xml:space="preserve">The bill includes </w:t>
            </w:r>
            <w:r w:rsidR="00F8232E">
              <w:t xml:space="preserve">among the </w:t>
            </w:r>
            <w:r w:rsidR="002037D4">
              <w:t>prohibited regulation</w:t>
            </w:r>
            <w:r w:rsidR="00F8232E">
              <w:t>s</w:t>
            </w:r>
            <w:r w:rsidR="002037D4">
              <w:t xml:space="preserve"> for both a municipality and commissioners court the regulation of </w:t>
            </w:r>
            <w:r w:rsidR="002037D4" w:rsidRPr="002037D4">
              <w:t>the minimum size of a lot, dimensions of a lot, minimum width of a lot frontage, minimum distance a lot must be set back from a road or property line, or another component of lot density on a particular tract of land</w:t>
            </w:r>
            <w:r w:rsidR="002037D4">
              <w:t>.</w:t>
            </w:r>
            <w:r w:rsidR="00F57A0A">
              <w:t xml:space="preserve"> The bill, with regard to the prohibited municipal regulation of </w:t>
            </w:r>
            <w:r w:rsidR="00F57A0A" w:rsidRPr="00F57A0A">
              <w:t>the size, type, or method of construction of a water or wastewater facility that can be constructed to serve a developed tract of land if</w:t>
            </w:r>
            <w:r w:rsidR="00F57A0A">
              <w:t xml:space="preserve"> </w:t>
            </w:r>
            <w:r w:rsidR="00F57A0A" w:rsidRPr="00F57A0A">
              <w:t>the facility meets the minimum standards established for water or wastewater facilities by state and federal regulatory entities</w:t>
            </w:r>
            <w:r w:rsidR="00F57A0A">
              <w:t>, removes the condition that the developed tract of land be located in a county with a population of 2.8 million or more and be served either by on-site septic systems constructed before September 1, 2001, that fail to provide adequate services or by on-site water wells constructed before such date that fail to provide an adequate supply of safe drinking water.</w:t>
            </w:r>
          </w:p>
          <w:p w14:paraId="5EC7FEA6" w14:textId="28D134B0" w:rsidR="002037D4" w:rsidRDefault="002037D4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C13C8A" w14:textId="1FEE86FD" w:rsidR="001C4C69" w:rsidRDefault="00E123DA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2037</w:t>
            </w:r>
            <w:r w:rsidR="006E754B">
              <w:t xml:space="preserve">, with regard to the authority of a commissioners court under provisions relating to </w:t>
            </w:r>
            <w:r w:rsidR="006E754B" w:rsidRPr="006E754B">
              <w:t>infrastructure planning provisions in certain urban counties</w:t>
            </w:r>
            <w:r w:rsidR="006E754B">
              <w:t xml:space="preserve"> to </w:t>
            </w:r>
            <w:r w:rsidR="006E754B" w:rsidRPr="006E754B">
              <w:t>adopt rules governing plats and subdivisions of land within the unincorporated area of the county</w:t>
            </w:r>
            <w:r w:rsidR="007E16FB">
              <w:t xml:space="preserve">, removes the </w:t>
            </w:r>
            <w:r w:rsidR="0013420F">
              <w:t>purpose of such authority as the</w:t>
            </w:r>
            <w:r w:rsidR="0013420F" w:rsidRPr="0013420F">
              <w:t xml:space="preserve"> promot</w:t>
            </w:r>
            <w:r w:rsidR="0013420F">
              <w:t>ion of</w:t>
            </w:r>
            <w:r w:rsidR="0013420F" w:rsidRPr="0013420F">
              <w:t xml:space="preserve"> the health, safety, morals, or general welfare of the county and the safe, orderly, and healthful development of the unincorporated area of the county</w:t>
            </w:r>
            <w:r w:rsidR="0013420F">
              <w:t xml:space="preserve"> and instead specifies that such authority is as </w:t>
            </w:r>
            <w:r w:rsidR="0013420F" w:rsidRPr="0013420F">
              <w:t xml:space="preserve">authorized by </w:t>
            </w:r>
            <w:r w:rsidR="0013420F">
              <w:t xml:space="preserve">such provisions. </w:t>
            </w:r>
            <w:r>
              <w:t xml:space="preserve">The bill repeals provisions relating to the </w:t>
            </w:r>
            <w:r w:rsidR="006F652F">
              <w:t xml:space="preserve">authority of a commissioners court to do the following: </w:t>
            </w:r>
          </w:p>
          <w:p w14:paraId="36FC831E" w14:textId="1806A81E" w:rsidR="006F652F" w:rsidRDefault="00E123DA" w:rsidP="00861D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652F">
              <w:t>adopt reasonable standards for minimum lot frontages on existing county roads and establish reasonable standards for the lot frontages in relation to curves in the road</w:t>
            </w:r>
            <w:r>
              <w:t>; and</w:t>
            </w:r>
          </w:p>
          <w:p w14:paraId="526C520D" w14:textId="6C4940ED" w:rsidR="006F652F" w:rsidRDefault="00E123DA" w:rsidP="00861D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652F">
              <w:t xml:space="preserve">establish </w:t>
            </w:r>
            <w:r>
              <w:t xml:space="preserve">applicable, </w:t>
            </w:r>
            <w:r w:rsidRPr="006F652F">
              <w:t>reasonable building and set-back lines.</w:t>
            </w:r>
          </w:p>
          <w:p w14:paraId="19439288" w14:textId="5059270C" w:rsidR="002037D4" w:rsidRDefault="002037D4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FF1D45" w14:textId="2C61F728" w:rsidR="006F652F" w:rsidRDefault="00E123DA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</w:t>
            </w:r>
            <w:r>
              <w:t xml:space="preserve">. 2037 </w:t>
            </w:r>
            <w:r w:rsidRPr="006F652F">
              <w:t>appl</w:t>
            </w:r>
            <w:r>
              <w:t>ies</w:t>
            </w:r>
            <w:r w:rsidRPr="006F652F">
              <w:t xml:space="preserve"> only to a plat application filed on or after the</w:t>
            </w:r>
            <w:r w:rsidR="00277982">
              <w:t xml:space="preserve"> bill's</w:t>
            </w:r>
            <w:r w:rsidRPr="006F652F">
              <w:t xml:space="preserve"> effective date. A plat application filed before </w:t>
            </w:r>
            <w:r w:rsidR="00277982">
              <w:t xml:space="preserve">such </w:t>
            </w:r>
            <w:r w:rsidRPr="006F652F">
              <w:t>date is governed by the law in effect on the date the application was filed and the former law is continued in effect for that purpo</w:t>
            </w:r>
            <w:r w:rsidRPr="006F652F">
              <w:t>se.</w:t>
            </w:r>
          </w:p>
          <w:p w14:paraId="2207DC45" w14:textId="173A0B53" w:rsidR="002037D4" w:rsidRPr="002037D4" w:rsidRDefault="002037D4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</w:p>
          <w:p w14:paraId="7E3FCE20" w14:textId="1CB4AA39" w:rsidR="002037D4" w:rsidRPr="009C36CD" w:rsidRDefault="00E123DA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2037 </w:t>
            </w:r>
            <w:r w:rsidRPr="006F652F">
              <w:t>repeals Sections 232.103 and 232.104, Local Government Code.</w:t>
            </w:r>
          </w:p>
          <w:p w14:paraId="66E7B8B5" w14:textId="77777777" w:rsidR="008423E4" w:rsidRPr="00835628" w:rsidRDefault="008423E4" w:rsidP="00861D26">
            <w:pPr>
              <w:rPr>
                <w:b/>
              </w:rPr>
            </w:pPr>
          </w:p>
        </w:tc>
      </w:tr>
      <w:tr w:rsidR="007A5F89" w14:paraId="5FAD6D23" w14:textId="77777777" w:rsidTr="00345119">
        <w:tc>
          <w:tcPr>
            <w:tcW w:w="9576" w:type="dxa"/>
          </w:tcPr>
          <w:p w14:paraId="0EF35F8F" w14:textId="77777777" w:rsidR="008423E4" w:rsidRPr="00A8133F" w:rsidRDefault="00E123DA" w:rsidP="00861D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A599DD" w14:textId="77777777" w:rsidR="008423E4" w:rsidRDefault="008423E4" w:rsidP="00861D26"/>
          <w:p w14:paraId="510C6D81" w14:textId="483BCD49" w:rsidR="008423E4" w:rsidRPr="003624F2" w:rsidRDefault="00E123DA" w:rsidP="00861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4D1CCDF" w14:textId="77777777" w:rsidR="008423E4" w:rsidRPr="00233FDB" w:rsidRDefault="008423E4" w:rsidP="00861D26">
            <w:pPr>
              <w:rPr>
                <w:b/>
              </w:rPr>
            </w:pPr>
          </w:p>
        </w:tc>
      </w:tr>
    </w:tbl>
    <w:p w14:paraId="1B40C7A9" w14:textId="77777777" w:rsidR="008423E4" w:rsidRPr="00BE0E75" w:rsidRDefault="008423E4" w:rsidP="00861D26">
      <w:pPr>
        <w:jc w:val="both"/>
        <w:rPr>
          <w:rFonts w:ascii="Arial" w:hAnsi="Arial"/>
          <w:sz w:val="16"/>
          <w:szCs w:val="16"/>
        </w:rPr>
      </w:pPr>
    </w:p>
    <w:p w14:paraId="1F38601C" w14:textId="77777777" w:rsidR="004108C3" w:rsidRPr="008423E4" w:rsidRDefault="004108C3" w:rsidP="00861D2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7B91" w14:textId="77777777" w:rsidR="00000000" w:rsidRDefault="00E123DA">
      <w:r>
        <w:separator/>
      </w:r>
    </w:p>
  </w:endnote>
  <w:endnote w:type="continuationSeparator" w:id="0">
    <w:p w14:paraId="47C2158F" w14:textId="77777777" w:rsidR="00000000" w:rsidRDefault="00E1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8D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5F89" w14:paraId="2680B2C1" w14:textId="77777777" w:rsidTr="009C1E9A">
      <w:trPr>
        <w:cantSplit/>
      </w:trPr>
      <w:tc>
        <w:tcPr>
          <w:tcW w:w="0" w:type="pct"/>
        </w:tcPr>
        <w:p w14:paraId="5FDA22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6467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EB47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153F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3A31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5F89" w14:paraId="6EA02200" w14:textId="77777777" w:rsidTr="009C1E9A">
      <w:trPr>
        <w:cantSplit/>
      </w:trPr>
      <w:tc>
        <w:tcPr>
          <w:tcW w:w="0" w:type="pct"/>
        </w:tcPr>
        <w:p w14:paraId="325660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C74FB2" w14:textId="5C012863" w:rsidR="00EC379B" w:rsidRPr="009C1E9A" w:rsidRDefault="00E123D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31713-D</w:t>
          </w:r>
        </w:p>
      </w:tc>
      <w:tc>
        <w:tcPr>
          <w:tcW w:w="2453" w:type="pct"/>
        </w:tcPr>
        <w:p w14:paraId="174935C2" w14:textId="5324426B" w:rsidR="00EC379B" w:rsidRDefault="00E123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D0C96">
            <w:t>23.139.889</w:t>
          </w:r>
          <w:r>
            <w:fldChar w:fldCharType="end"/>
          </w:r>
        </w:p>
      </w:tc>
    </w:tr>
    <w:tr w:rsidR="007A5F89" w14:paraId="15F63E53" w14:textId="77777777" w:rsidTr="009C1E9A">
      <w:trPr>
        <w:cantSplit/>
      </w:trPr>
      <w:tc>
        <w:tcPr>
          <w:tcW w:w="0" w:type="pct"/>
        </w:tcPr>
        <w:p w14:paraId="104541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F3790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77F7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5C46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5F89" w14:paraId="5375D10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C1C534" w14:textId="77777777" w:rsidR="00EC379B" w:rsidRDefault="00E123D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B727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E19E6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1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D460" w14:textId="77777777" w:rsidR="00000000" w:rsidRDefault="00E123DA">
      <w:r>
        <w:separator/>
      </w:r>
    </w:p>
  </w:footnote>
  <w:footnote w:type="continuationSeparator" w:id="0">
    <w:p w14:paraId="07AD8C3B" w14:textId="77777777" w:rsidR="00000000" w:rsidRDefault="00E1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9B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FE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D28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3795"/>
    <w:multiLevelType w:val="hybridMultilevel"/>
    <w:tmpl w:val="32A0867A"/>
    <w:lvl w:ilvl="0" w:tplc="AC4C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A7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2A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AC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B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6A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8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8D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2F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4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0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95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33B"/>
    <w:rsid w:val="0013420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C69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7D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A4B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982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7DC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99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4A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50E"/>
    <w:rsid w:val="00407C7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71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F5C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5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FA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54B"/>
    <w:rsid w:val="006F365D"/>
    <w:rsid w:val="006F4BB0"/>
    <w:rsid w:val="006F652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C0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F89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6F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26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7FA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F41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909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68B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AF7D10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1B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6A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CA0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BB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152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EE1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FBB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31E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7B1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3DA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1B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C5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2C3"/>
    <w:rsid w:val="00F5605D"/>
    <w:rsid w:val="00F57A0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32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C96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44A422-361B-432F-83A4-CE325A20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37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37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D4"/>
    <w:rPr>
      <w:b/>
      <w:bCs/>
    </w:rPr>
  </w:style>
  <w:style w:type="paragraph" w:styleId="Revision">
    <w:name w:val="Revision"/>
    <w:hidden/>
    <w:uiPriority w:val="99"/>
    <w:semiHidden/>
    <w:rsid w:val="00F82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3555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SB02037 (Committee Report (Unamended))</vt:lpstr>
    </vt:vector>
  </TitlesOfParts>
  <Company>State of Texas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31713</dc:subject>
  <dc:creator>State of Texas</dc:creator>
  <dc:description>SB 2037 by Bettencourt-(H)Land &amp; Resource Management</dc:description>
  <cp:lastModifiedBy>Damian Duarte</cp:lastModifiedBy>
  <cp:revision>2</cp:revision>
  <cp:lastPrinted>2003-11-26T17:21:00Z</cp:lastPrinted>
  <dcterms:created xsi:type="dcterms:W3CDTF">2023-05-19T22:38:00Z</dcterms:created>
  <dcterms:modified xsi:type="dcterms:W3CDTF">2023-05-19T22:38:00Z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23.139.889</vt:lpwstr>
  </property>
</Properties>
</file>