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D7B86" w14:paraId="6DB77846" w14:textId="77777777" w:rsidTr="00345119">
        <w:tc>
          <w:tcPr>
            <w:tcW w:w="9576" w:type="dxa"/>
            <w:noWrap/>
          </w:tcPr>
          <w:p w14:paraId="53CCAA8B" w14:textId="77777777" w:rsidR="008423E4" w:rsidRPr="0022177D" w:rsidRDefault="00590D8C" w:rsidP="00E10DC7">
            <w:pPr>
              <w:pStyle w:val="Heading1"/>
            </w:pPr>
            <w:r w:rsidRPr="00631897">
              <w:t>BILL ANALYSIS</w:t>
            </w:r>
          </w:p>
        </w:tc>
      </w:tr>
    </w:tbl>
    <w:p w14:paraId="328E1735" w14:textId="77777777" w:rsidR="008423E4" w:rsidRPr="0022177D" w:rsidRDefault="008423E4" w:rsidP="00E10DC7">
      <w:pPr>
        <w:jc w:val="center"/>
      </w:pPr>
    </w:p>
    <w:p w14:paraId="101D16D0" w14:textId="77777777" w:rsidR="008423E4" w:rsidRPr="00B31F0E" w:rsidRDefault="008423E4" w:rsidP="00E10DC7"/>
    <w:p w14:paraId="4700D2C6" w14:textId="77777777" w:rsidR="008423E4" w:rsidRPr="00742794" w:rsidRDefault="008423E4" w:rsidP="00E10DC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7B86" w14:paraId="5179D0B4" w14:textId="77777777" w:rsidTr="00345119">
        <w:tc>
          <w:tcPr>
            <w:tcW w:w="9576" w:type="dxa"/>
          </w:tcPr>
          <w:p w14:paraId="05A2CC07" w14:textId="5F964FBF" w:rsidR="008423E4" w:rsidRPr="00861995" w:rsidRDefault="00590D8C" w:rsidP="00E10DC7">
            <w:pPr>
              <w:jc w:val="right"/>
            </w:pPr>
            <w:r>
              <w:t>S.B. 2069</w:t>
            </w:r>
          </w:p>
        </w:tc>
      </w:tr>
      <w:tr w:rsidR="002D7B86" w14:paraId="7B24884E" w14:textId="77777777" w:rsidTr="00345119">
        <w:tc>
          <w:tcPr>
            <w:tcW w:w="9576" w:type="dxa"/>
          </w:tcPr>
          <w:p w14:paraId="49487104" w14:textId="07B58B62" w:rsidR="008423E4" w:rsidRPr="00861995" w:rsidRDefault="00590D8C" w:rsidP="00E10DC7">
            <w:pPr>
              <w:jc w:val="right"/>
            </w:pPr>
            <w:r>
              <w:t xml:space="preserve">By: </w:t>
            </w:r>
            <w:r w:rsidR="00AD5E63">
              <w:t>Bettencourt</w:t>
            </w:r>
          </w:p>
        </w:tc>
      </w:tr>
      <w:tr w:rsidR="002D7B86" w14:paraId="3E97E923" w14:textId="77777777" w:rsidTr="00345119">
        <w:tc>
          <w:tcPr>
            <w:tcW w:w="9576" w:type="dxa"/>
          </w:tcPr>
          <w:p w14:paraId="438E2115" w14:textId="3F526056" w:rsidR="008423E4" w:rsidRPr="00861995" w:rsidRDefault="00590D8C" w:rsidP="00E10DC7">
            <w:pPr>
              <w:jc w:val="right"/>
            </w:pPr>
            <w:r>
              <w:t>Public Education</w:t>
            </w:r>
          </w:p>
        </w:tc>
      </w:tr>
      <w:tr w:rsidR="002D7B86" w14:paraId="431FA74D" w14:textId="77777777" w:rsidTr="00345119">
        <w:tc>
          <w:tcPr>
            <w:tcW w:w="9576" w:type="dxa"/>
          </w:tcPr>
          <w:p w14:paraId="64D7BAA1" w14:textId="015C74FC" w:rsidR="008423E4" w:rsidRDefault="00590D8C" w:rsidP="00E10DC7">
            <w:pPr>
              <w:jc w:val="right"/>
            </w:pPr>
            <w:r>
              <w:t>Committee Report (Unamended)</w:t>
            </w:r>
          </w:p>
        </w:tc>
      </w:tr>
    </w:tbl>
    <w:p w14:paraId="306215A2" w14:textId="77777777" w:rsidR="008423E4" w:rsidRDefault="008423E4" w:rsidP="00E10DC7">
      <w:pPr>
        <w:tabs>
          <w:tab w:val="right" w:pos="9360"/>
        </w:tabs>
      </w:pPr>
    </w:p>
    <w:p w14:paraId="3DE4A777" w14:textId="77777777" w:rsidR="008423E4" w:rsidRDefault="008423E4" w:rsidP="00E10DC7"/>
    <w:p w14:paraId="07F9623E" w14:textId="77777777" w:rsidR="008423E4" w:rsidRDefault="008423E4" w:rsidP="00E10DC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D7B86" w14:paraId="7B200C78" w14:textId="77777777" w:rsidTr="003656B4">
        <w:tc>
          <w:tcPr>
            <w:tcW w:w="9360" w:type="dxa"/>
          </w:tcPr>
          <w:p w14:paraId="053A881E" w14:textId="77777777" w:rsidR="008423E4" w:rsidRPr="00A8133F" w:rsidRDefault="00590D8C" w:rsidP="00E10D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184A517" w14:textId="77777777" w:rsidR="008423E4" w:rsidRDefault="008423E4" w:rsidP="00E10DC7"/>
          <w:p w14:paraId="2FC3FB8E" w14:textId="2BAA0380" w:rsidR="003E5D7D" w:rsidRDefault="00590D8C" w:rsidP="00E10DC7">
            <w:pPr>
              <w:pStyle w:val="Header"/>
              <w:jc w:val="both"/>
            </w:pPr>
            <w:r>
              <w:t>T</w:t>
            </w:r>
            <w:r w:rsidR="00C213D7" w:rsidRPr="00C213D7">
              <w:t>he 87th Legislature</w:t>
            </w:r>
            <w:r>
              <w:t xml:space="preserve"> passed H.B.</w:t>
            </w:r>
            <w:r w:rsidR="00C213D7" w:rsidRPr="00C213D7">
              <w:t xml:space="preserve"> 1540</w:t>
            </w:r>
            <w:r>
              <w:t>, which</w:t>
            </w:r>
            <w:r w:rsidR="00C213D7" w:rsidRPr="00C213D7">
              <w:t xml:space="preserve"> expanded investigatory tools recommended by the Texas Human Trafficking Prevention Task Force. </w:t>
            </w:r>
            <w:r w:rsidR="0004563A">
              <w:t>One of the changes made by that legislation was to require primary and secondary schools to post</w:t>
            </w:r>
            <w:r w:rsidR="00B31A3D">
              <w:t xml:space="preserve"> </w:t>
            </w:r>
            <w:r w:rsidR="0004563A">
              <w:t xml:space="preserve">certain </w:t>
            </w:r>
            <w:r w:rsidR="000F0BD6">
              <w:t xml:space="preserve">warning </w:t>
            </w:r>
            <w:r w:rsidR="00C213D7" w:rsidRPr="00C213D7">
              <w:t>sign</w:t>
            </w:r>
            <w:r w:rsidR="000F0BD6">
              <w:t>s relating to human trafficking</w:t>
            </w:r>
            <w:r w:rsidR="00C213D7" w:rsidRPr="00C213D7">
              <w:t>.</w:t>
            </w:r>
            <w:r w:rsidR="00C213D7">
              <w:t xml:space="preserve"> </w:t>
            </w:r>
            <w:r w:rsidR="00C213D7" w:rsidRPr="00C213D7">
              <w:t>H</w:t>
            </w:r>
            <w:r>
              <w:t>.</w:t>
            </w:r>
            <w:r w:rsidR="00C213D7" w:rsidRPr="00C213D7">
              <w:t>B</w:t>
            </w:r>
            <w:r>
              <w:t>.</w:t>
            </w:r>
            <w:r w:rsidR="00C213D7" w:rsidRPr="00C213D7">
              <w:t xml:space="preserve"> 1540 </w:t>
            </w:r>
            <w:r>
              <w:t>applied the new signage requirement to both public and</w:t>
            </w:r>
            <w:r w:rsidRPr="00C213D7">
              <w:t xml:space="preserve"> </w:t>
            </w:r>
            <w:r w:rsidR="00C213D7" w:rsidRPr="00C213D7">
              <w:t xml:space="preserve">private schools. </w:t>
            </w:r>
            <w:r w:rsidR="00B31A3D">
              <w:t>However,</w:t>
            </w:r>
            <w:r w:rsidR="00C213D7" w:rsidRPr="00C213D7">
              <w:t xml:space="preserve"> private schools are not regulated in the same way that public school</w:t>
            </w:r>
            <w:r>
              <w:t>s</w:t>
            </w:r>
            <w:r w:rsidR="00C213D7" w:rsidRPr="00C213D7">
              <w:t xml:space="preserve"> are</w:t>
            </w:r>
            <w:r w:rsidR="000F0BD6">
              <w:t>,</w:t>
            </w:r>
            <w:r w:rsidR="00B31A3D">
              <w:t xml:space="preserve"> and they should not </w:t>
            </w:r>
            <w:r w:rsidR="0004563A">
              <w:t>have been made</w:t>
            </w:r>
            <w:r w:rsidR="00B31A3D">
              <w:t xml:space="preserve"> subject to </w:t>
            </w:r>
            <w:r w:rsidR="00681B05">
              <w:t>th</w:t>
            </w:r>
            <w:r w:rsidR="00B33DF6">
              <w:t>at</w:t>
            </w:r>
            <w:r w:rsidR="002C25D9">
              <w:t xml:space="preserve"> </w:t>
            </w:r>
            <w:r w:rsidR="00B31A3D">
              <w:t>requirement</w:t>
            </w:r>
            <w:r w:rsidR="00B33DF6">
              <w:t>.</w:t>
            </w:r>
            <w:r w:rsidR="00C213D7" w:rsidRPr="00C213D7">
              <w:t xml:space="preserve"> </w:t>
            </w:r>
            <w:r w:rsidR="007B64D3">
              <w:t xml:space="preserve">S.B. 2069 </w:t>
            </w:r>
            <w:r w:rsidR="000F0BD6">
              <w:t xml:space="preserve">seeks to </w:t>
            </w:r>
            <w:r w:rsidR="00B31A3D">
              <w:t>remedy this situation</w:t>
            </w:r>
            <w:r w:rsidR="000F0BD6">
              <w:t xml:space="preserve"> by </w:t>
            </w:r>
            <w:r w:rsidR="00C213D7">
              <w:t>remov</w:t>
            </w:r>
            <w:r w:rsidR="000F0BD6">
              <w:t>ing</w:t>
            </w:r>
            <w:r w:rsidR="00C213D7">
              <w:t xml:space="preserve"> private school</w:t>
            </w:r>
            <w:r w:rsidR="000F0BD6">
              <w:t>s</w:t>
            </w:r>
            <w:r w:rsidR="00C213D7">
              <w:t xml:space="preserve"> from </w:t>
            </w:r>
            <w:r w:rsidR="00681B05">
              <w:t xml:space="preserve">the </w:t>
            </w:r>
            <w:r w:rsidR="00B33DF6">
              <w:t>applicability of</w:t>
            </w:r>
            <w:r w:rsidR="002C25D9">
              <w:t xml:space="preserve"> the </w:t>
            </w:r>
            <w:r w:rsidR="000F0BD6">
              <w:t>signage requirement</w:t>
            </w:r>
            <w:r w:rsidR="00C213D7">
              <w:t xml:space="preserve">.  </w:t>
            </w:r>
          </w:p>
          <w:p w14:paraId="43DFC89D" w14:textId="77777777" w:rsidR="008423E4" w:rsidRPr="00E26B13" w:rsidRDefault="008423E4" w:rsidP="00E10DC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D7B86" w14:paraId="628DD84B" w14:textId="77777777" w:rsidTr="003656B4">
        <w:tc>
          <w:tcPr>
            <w:tcW w:w="9360" w:type="dxa"/>
          </w:tcPr>
          <w:p w14:paraId="178B44D8" w14:textId="77777777" w:rsidR="0017725B" w:rsidRDefault="00590D8C" w:rsidP="00E10D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DCBFA6" w14:textId="77777777" w:rsidR="0017725B" w:rsidRDefault="0017725B" w:rsidP="00E10DC7">
            <w:pPr>
              <w:rPr>
                <w:b/>
                <w:u w:val="single"/>
              </w:rPr>
            </w:pPr>
          </w:p>
          <w:p w14:paraId="041216C6" w14:textId="45006A85" w:rsidR="009B298C" w:rsidRPr="009B298C" w:rsidRDefault="00590D8C" w:rsidP="00E10DC7">
            <w:pPr>
              <w:jc w:val="both"/>
            </w:pPr>
            <w:r>
              <w:t>It is the committee's opinion that this bill does not expressly create a criminal offense, increase the punishment for an existing crimina</w:t>
            </w:r>
            <w:r>
              <w:t>l offense or category of offenses, or change the eligibility of a person for community supervision, parole, or mandatory supervision.</w:t>
            </w:r>
          </w:p>
          <w:p w14:paraId="2FC2E311" w14:textId="77777777" w:rsidR="0017725B" w:rsidRPr="0017725B" w:rsidRDefault="0017725B" w:rsidP="00E10DC7">
            <w:pPr>
              <w:rPr>
                <w:b/>
                <w:u w:val="single"/>
              </w:rPr>
            </w:pPr>
          </w:p>
        </w:tc>
      </w:tr>
      <w:tr w:rsidR="002D7B86" w14:paraId="111ADE63" w14:textId="77777777" w:rsidTr="003656B4">
        <w:tc>
          <w:tcPr>
            <w:tcW w:w="9360" w:type="dxa"/>
          </w:tcPr>
          <w:p w14:paraId="76AF9C45" w14:textId="77777777" w:rsidR="008423E4" w:rsidRPr="00A8133F" w:rsidRDefault="00590D8C" w:rsidP="00E10D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0AF9E7" w14:textId="77777777" w:rsidR="008423E4" w:rsidRDefault="008423E4" w:rsidP="00E10DC7"/>
          <w:p w14:paraId="6AB7A6F7" w14:textId="228D5289" w:rsidR="009B298C" w:rsidRDefault="00590D8C" w:rsidP="00E10D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</w:t>
            </w:r>
            <w:r>
              <w:t>uthority to a state officer, department, agency, or institution.</w:t>
            </w:r>
          </w:p>
          <w:p w14:paraId="0B031A76" w14:textId="77777777" w:rsidR="008423E4" w:rsidRPr="00E21FDC" w:rsidRDefault="008423E4" w:rsidP="00E10DC7">
            <w:pPr>
              <w:rPr>
                <w:b/>
              </w:rPr>
            </w:pPr>
          </w:p>
        </w:tc>
      </w:tr>
      <w:tr w:rsidR="002D7B86" w14:paraId="787FEFAD" w14:textId="77777777" w:rsidTr="003656B4">
        <w:tc>
          <w:tcPr>
            <w:tcW w:w="9360" w:type="dxa"/>
          </w:tcPr>
          <w:p w14:paraId="4ED2344F" w14:textId="77777777" w:rsidR="008423E4" w:rsidRPr="00A8133F" w:rsidRDefault="00590D8C" w:rsidP="00E10D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2DAB50" w14:textId="77777777" w:rsidR="008423E4" w:rsidRDefault="008423E4" w:rsidP="00E10DC7"/>
          <w:p w14:paraId="4E2A2760" w14:textId="3B957858" w:rsidR="007B64D3" w:rsidRDefault="00590D8C" w:rsidP="00E10D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2069</w:t>
            </w:r>
            <w:r w:rsidR="005F536F">
              <w:t xml:space="preserve"> amends the Education Code to </w:t>
            </w:r>
            <w:r>
              <w:t xml:space="preserve">revise statutory provisions relating to </w:t>
            </w:r>
            <w:r w:rsidRPr="007B64D3">
              <w:t xml:space="preserve">the requirement for schools to post warning signs of increased trafficking penalties at </w:t>
            </w:r>
            <w:r w:rsidRPr="007B64D3">
              <w:t>certain locations</w:t>
            </w:r>
            <w:r>
              <w:t>, as follows:</w:t>
            </w:r>
          </w:p>
          <w:p w14:paraId="00121C7E" w14:textId="692CED8C" w:rsidR="009C36CD" w:rsidRDefault="00590D8C" w:rsidP="00E10D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remove</w:t>
            </w:r>
            <w:r w:rsidR="007B64D3">
              <w:t>s</w:t>
            </w:r>
            <w:r>
              <w:t xml:space="preserve"> a private </w:t>
            </w:r>
            <w:r w:rsidRPr="005F536F">
              <w:t>primary or secondary school</w:t>
            </w:r>
            <w:r>
              <w:t xml:space="preserve"> </w:t>
            </w:r>
            <w:r w:rsidR="00BF603B">
              <w:t xml:space="preserve">from the </w:t>
            </w:r>
            <w:r w:rsidR="00F861C6">
              <w:t xml:space="preserve">applicability of </w:t>
            </w:r>
            <w:r w:rsidR="00084A4D">
              <w:t>the</w:t>
            </w:r>
            <w:r w:rsidR="007B64D3">
              <w:t xml:space="preserve"> </w:t>
            </w:r>
            <w:r w:rsidR="00BF603B">
              <w:t>requirement</w:t>
            </w:r>
            <w:r w:rsidR="007B64D3">
              <w:t>;</w:t>
            </w:r>
          </w:p>
          <w:p w14:paraId="341903C1" w14:textId="113C5A44" w:rsidR="007B64D3" w:rsidRDefault="00590D8C" w:rsidP="00E10D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removes the </w:t>
            </w:r>
            <w:r w:rsidR="00F67A0E">
              <w:t>specification</w:t>
            </w:r>
            <w:r>
              <w:t xml:space="preserve"> that the warning signs must be posted in the following locations:</w:t>
            </w:r>
          </w:p>
          <w:p w14:paraId="17E50F6C" w14:textId="17F35F0A" w:rsidR="00E85E1B" w:rsidRDefault="00590D8C" w:rsidP="00E10DC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parallel to and along the exterior boundaries of the school's premises;</w:t>
            </w:r>
          </w:p>
          <w:p w14:paraId="525C87E7" w14:textId="27A8DA3C" w:rsidR="00E85E1B" w:rsidRDefault="00590D8C" w:rsidP="00E10DC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at each roadway or other way of access to the premises;</w:t>
            </w:r>
          </w:p>
          <w:p w14:paraId="3C9684CD" w14:textId="1F897C37" w:rsidR="00E85E1B" w:rsidRDefault="00590D8C" w:rsidP="00E10DC7">
            <w:pPr>
              <w:pStyle w:val="Header"/>
              <w:numPr>
                <w:ilvl w:val="1"/>
                <w:numId w:val="1"/>
              </w:numPr>
              <w:jc w:val="both"/>
            </w:pPr>
            <w:r>
              <w:t>for premises not fenced, at least every five hundred feet alo</w:t>
            </w:r>
            <w:r>
              <w:t xml:space="preserve">ng the exterior boundaries of the premises; and </w:t>
            </w:r>
          </w:p>
          <w:p w14:paraId="5557D81D" w14:textId="0DBEB178" w:rsidR="00E85E1B" w:rsidRDefault="00590D8C" w:rsidP="00E10DC7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at each entrance to the premises;</w:t>
            </w:r>
            <w:r w:rsidR="00261E81">
              <w:t xml:space="preserve"> and</w:t>
            </w:r>
          </w:p>
          <w:p w14:paraId="246B4E94" w14:textId="304B9C1E" w:rsidR="00E85E1B" w:rsidRDefault="00590D8C" w:rsidP="00E10DC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clarifies that the warning signs must be posted in a </w:t>
            </w:r>
            <w:r w:rsidR="00261E81" w:rsidRPr="00261E81">
              <w:t>conspicuous place</w:t>
            </w:r>
            <w:r w:rsidR="00261E81">
              <w:t xml:space="preserve"> </w:t>
            </w:r>
            <w:r w:rsidR="00261E81" w:rsidRPr="00261E81">
              <w:t>reasonably likely to be viewed by all school employees and visitors</w:t>
            </w:r>
            <w:r w:rsidR="00261E81">
              <w:t>.</w:t>
            </w:r>
          </w:p>
          <w:p w14:paraId="5BE07C96" w14:textId="51D9FF05" w:rsidR="007B64D3" w:rsidRPr="009C36CD" w:rsidRDefault="00590D8C" w:rsidP="00E10D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removes the requirem</w:t>
            </w:r>
            <w:r>
              <w:t xml:space="preserve">ent </w:t>
            </w:r>
            <w:r w:rsidR="00F67A0E">
              <w:t xml:space="preserve">that rules adopted by </w:t>
            </w:r>
            <w:r>
              <w:t xml:space="preserve">the Texas Education Agency, </w:t>
            </w:r>
            <w:r w:rsidRPr="00084A4D">
              <w:t xml:space="preserve">in consultation with the human trafficking prevention task force, </w:t>
            </w:r>
            <w:r w:rsidR="00F67A0E">
              <w:t>address</w:t>
            </w:r>
            <w:r w:rsidRPr="00084A4D">
              <w:t xml:space="preserve"> the placement, installation, design, size</w:t>
            </w:r>
            <w:r>
              <w:t>,</w:t>
            </w:r>
            <w:r w:rsidRPr="00084A4D">
              <w:t xml:space="preserve"> and maintenance procedures for the warning signs</w:t>
            </w:r>
            <w:r>
              <w:t>.</w:t>
            </w:r>
          </w:p>
          <w:p w14:paraId="51DBCE23" w14:textId="77777777" w:rsidR="008423E4" w:rsidRPr="00835628" w:rsidRDefault="008423E4" w:rsidP="00E10DC7">
            <w:pPr>
              <w:rPr>
                <w:b/>
              </w:rPr>
            </w:pPr>
          </w:p>
        </w:tc>
      </w:tr>
      <w:tr w:rsidR="002D7B86" w14:paraId="09236F6D" w14:textId="77777777" w:rsidTr="003656B4">
        <w:tc>
          <w:tcPr>
            <w:tcW w:w="9360" w:type="dxa"/>
          </w:tcPr>
          <w:p w14:paraId="5F1ABAF4" w14:textId="77777777" w:rsidR="008423E4" w:rsidRPr="00A8133F" w:rsidRDefault="00590D8C" w:rsidP="00E10D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F830D44" w14:textId="77777777" w:rsidR="008423E4" w:rsidRDefault="008423E4" w:rsidP="00E10DC7"/>
          <w:p w14:paraId="01A0AF64" w14:textId="0623F7F4" w:rsidR="008423E4" w:rsidRPr="003624F2" w:rsidRDefault="00590D8C" w:rsidP="00E10D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</w:t>
            </w:r>
            <w:r>
              <w:t>passage, or, if the bill does not receive the necessary vote, September 1, 2023.</w:t>
            </w:r>
          </w:p>
          <w:p w14:paraId="0C753FF6" w14:textId="77777777" w:rsidR="008423E4" w:rsidRPr="00233FDB" w:rsidRDefault="008423E4" w:rsidP="00E10DC7">
            <w:pPr>
              <w:rPr>
                <w:b/>
              </w:rPr>
            </w:pPr>
          </w:p>
        </w:tc>
      </w:tr>
    </w:tbl>
    <w:p w14:paraId="6CD7CE11" w14:textId="77777777" w:rsidR="004108C3" w:rsidRPr="008423E4" w:rsidRDefault="004108C3" w:rsidP="00E10DC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085A" w14:textId="77777777" w:rsidR="00000000" w:rsidRDefault="00590D8C">
      <w:r>
        <w:separator/>
      </w:r>
    </w:p>
  </w:endnote>
  <w:endnote w:type="continuationSeparator" w:id="0">
    <w:p w14:paraId="69B9BF07" w14:textId="77777777" w:rsidR="00000000" w:rsidRDefault="0059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66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7B86" w14:paraId="29FCA5F4" w14:textId="77777777" w:rsidTr="009C1E9A">
      <w:trPr>
        <w:cantSplit/>
      </w:trPr>
      <w:tc>
        <w:tcPr>
          <w:tcW w:w="0" w:type="pct"/>
        </w:tcPr>
        <w:p w14:paraId="5155BD1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4434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9C63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AA916D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DE80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B86" w14:paraId="0F51C63E" w14:textId="77777777" w:rsidTr="009C1E9A">
      <w:trPr>
        <w:cantSplit/>
      </w:trPr>
      <w:tc>
        <w:tcPr>
          <w:tcW w:w="0" w:type="pct"/>
        </w:tcPr>
        <w:p w14:paraId="5C7741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121C7D" w14:textId="39B2A812" w:rsidR="00EC379B" w:rsidRPr="009C1E9A" w:rsidRDefault="00590D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28065-D</w:t>
          </w:r>
        </w:p>
      </w:tc>
      <w:tc>
        <w:tcPr>
          <w:tcW w:w="2453" w:type="pct"/>
        </w:tcPr>
        <w:p w14:paraId="5FDBD39B" w14:textId="7AB86261" w:rsidR="00EC379B" w:rsidRDefault="00590D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74A6E">
            <w:t>23.123.471</w:t>
          </w:r>
          <w:r>
            <w:fldChar w:fldCharType="end"/>
          </w:r>
        </w:p>
      </w:tc>
    </w:tr>
    <w:tr w:rsidR="002D7B86" w14:paraId="4668CD6A" w14:textId="77777777" w:rsidTr="009C1E9A">
      <w:trPr>
        <w:cantSplit/>
      </w:trPr>
      <w:tc>
        <w:tcPr>
          <w:tcW w:w="0" w:type="pct"/>
        </w:tcPr>
        <w:p w14:paraId="4F2EDF5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3AC387" w14:textId="3DB753CC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D6BF1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116E5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7B86" w14:paraId="4990B19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9D25B0" w14:textId="77777777" w:rsidR="00EC379B" w:rsidRDefault="00590D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BBA4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EFA53F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B7A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3097" w14:textId="77777777" w:rsidR="00000000" w:rsidRDefault="00590D8C">
      <w:r>
        <w:separator/>
      </w:r>
    </w:p>
  </w:footnote>
  <w:footnote w:type="continuationSeparator" w:id="0">
    <w:p w14:paraId="78293BB1" w14:textId="77777777" w:rsidR="00000000" w:rsidRDefault="0059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C5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625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14F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621BB"/>
    <w:multiLevelType w:val="hybridMultilevel"/>
    <w:tmpl w:val="5CFA79B6"/>
    <w:lvl w:ilvl="0" w:tplc="15909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E7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C3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25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0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47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8D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41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6F"/>
    <w:rsid w:val="00000A70"/>
    <w:rsid w:val="000032B8"/>
    <w:rsid w:val="00003B06"/>
    <w:rsid w:val="0000532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563A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A4D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603E"/>
    <w:rsid w:val="000E7C14"/>
    <w:rsid w:val="000F094C"/>
    <w:rsid w:val="000F0BD6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286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E81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5D9"/>
    <w:rsid w:val="002C3203"/>
    <w:rsid w:val="002C3B07"/>
    <w:rsid w:val="002C532B"/>
    <w:rsid w:val="002C5713"/>
    <w:rsid w:val="002D05CC"/>
    <w:rsid w:val="002D305A"/>
    <w:rsid w:val="002D7B86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D24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6B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015F"/>
    <w:rsid w:val="003D726D"/>
    <w:rsid w:val="003E0875"/>
    <w:rsid w:val="003E0BB8"/>
    <w:rsid w:val="003E209A"/>
    <w:rsid w:val="003E5D7D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9B8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D8C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F3A"/>
    <w:rsid w:val="005F4862"/>
    <w:rsid w:val="005F536F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0D3A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1B05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6F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A6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4D3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4B5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03F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6CEC"/>
    <w:rsid w:val="00930897"/>
    <w:rsid w:val="009320D2"/>
    <w:rsid w:val="009329FB"/>
    <w:rsid w:val="00932C77"/>
    <w:rsid w:val="0093417F"/>
    <w:rsid w:val="00934AC2"/>
    <w:rsid w:val="009375BB"/>
    <w:rsid w:val="009418E9"/>
    <w:rsid w:val="009434E8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298C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EFD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5FC5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303"/>
    <w:rsid w:val="00A803CF"/>
    <w:rsid w:val="00A8133F"/>
    <w:rsid w:val="00A82CB4"/>
    <w:rsid w:val="00A837A8"/>
    <w:rsid w:val="00A83C36"/>
    <w:rsid w:val="00A8628A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E63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A3D"/>
    <w:rsid w:val="00B31F0E"/>
    <w:rsid w:val="00B33DF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2220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465"/>
    <w:rsid w:val="00BF4949"/>
    <w:rsid w:val="00BF4D7C"/>
    <w:rsid w:val="00BF5085"/>
    <w:rsid w:val="00BF603B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3D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626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2BD1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DC7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5E1B"/>
    <w:rsid w:val="00E87A99"/>
    <w:rsid w:val="00E90702"/>
    <w:rsid w:val="00E9241E"/>
    <w:rsid w:val="00E92AC0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7D9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67A0E"/>
    <w:rsid w:val="00F706CA"/>
    <w:rsid w:val="00F70F8D"/>
    <w:rsid w:val="00F71C5A"/>
    <w:rsid w:val="00F733A4"/>
    <w:rsid w:val="00F7758F"/>
    <w:rsid w:val="00F82811"/>
    <w:rsid w:val="00F84153"/>
    <w:rsid w:val="00F85661"/>
    <w:rsid w:val="00F861C6"/>
    <w:rsid w:val="00F94E7E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324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233028-3283-4C02-ACEE-0543155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29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9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98C"/>
    <w:rPr>
      <w:b/>
      <w:bCs/>
    </w:rPr>
  </w:style>
  <w:style w:type="paragraph" w:styleId="Revision">
    <w:name w:val="Revision"/>
    <w:hidden/>
    <w:uiPriority w:val="99"/>
    <w:semiHidden/>
    <w:rsid w:val="00926CEC"/>
    <w:rPr>
      <w:sz w:val="24"/>
      <w:szCs w:val="24"/>
    </w:rPr>
  </w:style>
  <w:style w:type="character" w:styleId="Hyperlink">
    <w:name w:val="Hyperlink"/>
    <w:basedOn w:val="DefaultParagraphFont"/>
    <w:unhideWhenUsed/>
    <w:rsid w:val="000F0B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2025</Characters>
  <Application>Microsoft Office Word</Application>
  <DocSecurity>4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SB02069 (Committee Report (Unamended))</vt:lpstr>
    </vt:vector>
  </TitlesOfParts>
  <Company>State of Texas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28065</dc:subject>
  <dc:creator>State of Texas</dc:creator>
  <dc:description>SB 2069 by Bettencourt-(H)Public Education</dc:description>
  <cp:lastModifiedBy>Damian Duarte</cp:lastModifiedBy>
  <cp:revision>2</cp:revision>
  <cp:lastPrinted>2003-11-26T17:21:00Z</cp:lastPrinted>
  <dcterms:created xsi:type="dcterms:W3CDTF">2023-05-03T16:49:00Z</dcterms:created>
  <dcterms:modified xsi:type="dcterms:W3CDTF">2023-05-03T16:49:00Z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23.123.471</vt:lpwstr>
  </property>
</Properties>
</file>