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363B" w:rsidRDefault="0099363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1EF145787EE46079EFBA17CC3AF14AC"/>
          </w:placeholder>
        </w:sdtPr>
        <w:sdtContent>
          <w:r w:rsidRPr="005C2A78">
            <w:rPr>
              <w:rFonts w:cs="Times New Roman"/>
              <w:b/>
              <w:szCs w:val="24"/>
              <w:u w:val="single"/>
            </w:rPr>
            <w:t>BILL ANALYSIS</w:t>
          </w:r>
        </w:sdtContent>
      </w:sdt>
    </w:p>
    <w:p w:rsidR="0099363B" w:rsidRPr="00585C31" w:rsidRDefault="0099363B" w:rsidP="000F1DF9">
      <w:pPr>
        <w:spacing w:after="0" w:line="240" w:lineRule="auto"/>
        <w:rPr>
          <w:rFonts w:cs="Times New Roman"/>
          <w:szCs w:val="24"/>
        </w:rPr>
      </w:pPr>
    </w:p>
    <w:p w:rsidR="0099363B" w:rsidRPr="00585C31" w:rsidRDefault="0099363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9363B" w:rsidTr="000F1DF9">
        <w:tc>
          <w:tcPr>
            <w:tcW w:w="2718" w:type="dxa"/>
          </w:tcPr>
          <w:p w:rsidR="0099363B" w:rsidRPr="005C2A78" w:rsidRDefault="0099363B" w:rsidP="006D756B">
            <w:pPr>
              <w:rPr>
                <w:rFonts w:cs="Times New Roman"/>
                <w:szCs w:val="24"/>
              </w:rPr>
            </w:pPr>
            <w:sdt>
              <w:sdtPr>
                <w:rPr>
                  <w:rFonts w:cs="Times New Roman"/>
                  <w:szCs w:val="24"/>
                </w:rPr>
                <w:alias w:val="Agency Title"/>
                <w:tag w:val="AgencyTitleContentControl"/>
                <w:id w:val="1920747753"/>
                <w:lock w:val="sdtContentLocked"/>
                <w:placeholder>
                  <w:docPart w:val="1435FA5E41CC4E8A92C5DDFBC09C6CE6"/>
                </w:placeholder>
              </w:sdtPr>
              <w:sdtEndPr>
                <w:rPr>
                  <w:rFonts w:cstheme="minorBidi"/>
                  <w:szCs w:val="22"/>
                </w:rPr>
              </w:sdtEndPr>
              <w:sdtContent>
                <w:r>
                  <w:rPr>
                    <w:rFonts w:cs="Times New Roman"/>
                    <w:szCs w:val="24"/>
                  </w:rPr>
                  <w:t>Senate Research Center</w:t>
                </w:r>
              </w:sdtContent>
            </w:sdt>
          </w:p>
        </w:tc>
        <w:tc>
          <w:tcPr>
            <w:tcW w:w="6858" w:type="dxa"/>
          </w:tcPr>
          <w:p w:rsidR="0099363B" w:rsidRPr="00FF6471" w:rsidRDefault="0099363B" w:rsidP="000F1DF9">
            <w:pPr>
              <w:jc w:val="right"/>
              <w:rPr>
                <w:rFonts w:cs="Times New Roman"/>
                <w:szCs w:val="24"/>
              </w:rPr>
            </w:pPr>
            <w:sdt>
              <w:sdtPr>
                <w:rPr>
                  <w:rFonts w:cs="Times New Roman"/>
                  <w:szCs w:val="24"/>
                </w:rPr>
                <w:alias w:val="Bill Number"/>
                <w:tag w:val="BillNumberOne"/>
                <w:id w:val="-410784069"/>
                <w:lock w:val="sdtContentLocked"/>
                <w:placeholder>
                  <w:docPart w:val="26E7A80E8A89436BACABA83EFEB6E6DB"/>
                </w:placeholder>
              </w:sdtPr>
              <w:sdtContent>
                <w:r>
                  <w:rPr>
                    <w:rFonts w:cs="Times New Roman"/>
                    <w:szCs w:val="24"/>
                  </w:rPr>
                  <w:t>S.B. 2105</w:t>
                </w:r>
              </w:sdtContent>
            </w:sdt>
          </w:p>
        </w:tc>
      </w:tr>
      <w:tr w:rsidR="0099363B" w:rsidTr="000F1DF9">
        <w:sdt>
          <w:sdtPr>
            <w:rPr>
              <w:rFonts w:cs="Times New Roman"/>
              <w:szCs w:val="24"/>
            </w:rPr>
            <w:alias w:val="TLCNumber"/>
            <w:tag w:val="TLCNumber"/>
            <w:id w:val="-542600604"/>
            <w:lock w:val="sdtLocked"/>
            <w:placeholder>
              <w:docPart w:val="48D787F44FB04380840303A30BA3AF46"/>
            </w:placeholder>
            <w:showingPlcHdr/>
          </w:sdtPr>
          <w:sdtContent>
            <w:tc>
              <w:tcPr>
                <w:tcW w:w="2718" w:type="dxa"/>
              </w:tcPr>
              <w:p w:rsidR="0099363B" w:rsidRPr="000F1DF9" w:rsidRDefault="0099363B" w:rsidP="00C65088">
                <w:pPr>
                  <w:rPr>
                    <w:rFonts w:cs="Times New Roman"/>
                    <w:szCs w:val="24"/>
                  </w:rPr>
                </w:pPr>
              </w:p>
            </w:tc>
          </w:sdtContent>
        </w:sdt>
        <w:tc>
          <w:tcPr>
            <w:tcW w:w="6858" w:type="dxa"/>
          </w:tcPr>
          <w:p w:rsidR="0099363B" w:rsidRPr="005C2A78" w:rsidRDefault="0099363B" w:rsidP="00073EDD">
            <w:pPr>
              <w:jc w:val="right"/>
              <w:rPr>
                <w:rFonts w:cs="Times New Roman"/>
                <w:szCs w:val="24"/>
              </w:rPr>
            </w:pPr>
            <w:sdt>
              <w:sdtPr>
                <w:rPr>
                  <w:rFonts w:cs="Times New Roman"/>
                  <w:szCs w:val="24"/>
                </w:rPr>
                <w:alias w:val="Author Label"/>
                <w:tag w:val="By"/>
                <w:id w:val="72399597"/>
                <w:lock w:val="sdtLocked"/>
                <w:placeholder>
                  <w:docPart w:val="21452FFD3A934805B8F048ED82C314C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351B0AA6FCD451085C6EE5DB971949D"/>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8C1C03D82360469EBA5E64A0AD256EBD"/>
                </w:placeholder>
                <w:showingPlcHdr/>
              </w:sdtPr>
              <w:sdtContent/>
            </w:sdt>
            <w:sdt>
              <w:sdtPr>
                <w:rPr>
                  <w:rFonts w:cs="Times New Roman"/>
                  <w:szCs w:val="24"/>
                </w:rPr>
                <w:alias w:val="DualSponsor"/>
                <w:tag w:val="DualSponsor"/>
                <w:id w:val="1029379812"/>
                <w:lock w:val="sdtContentLocked"/>
                <w:placeholder>
                  <w:docPart w:val="1851CDCFF918489B8E4AC99B0B3D5C76"/>
                </w:placeholder>
                <w:showingPlcHdr/>
              </w:sdtPr>
              <w:sdtContent/>
            </w:sdt>
          </w:p>
        </w:tc>
      </w:tr>
      <w:tr w:rsidR="0099363B" w:rsidTr="000F1DF9">
        <w:tc>
          <w:tcPr>
            <w:tcW w:w="2718" w:type="dxa"/>
          </w:tcPr>
          <w:p w:rsidR="0099363B" w:rsidRPr="00BC7495" w:rsidRDefault="0099363B" w:rsidP="000F1DF9">
            <w:pPr>
              <w:rPr>
                <w:rFonts w:cs="Times New Roman"/>
                <w:szCs w:val="24"/>
              </w:rPr>
            </w:pPr>
          </w:p>
        </w:tc>
        <w:sdt>
          <w:sdtPr>
            <w:rPr>
              <w:rFonts w:cs="Times New Roman"/>
              <w:szCs w:val="24"/>
            </w:rPr>
            <w:alias w:val="Committee"/>
            <w:tag w:val="Committee"/>
            <w:id w:val="1914272295"/>
            <w:lock w:val="sdtContentLocked"/>
            <w:placeholder>
              <w:docPart w:val="ACB2EA231EA649A8AC50DF7FEE16767B"/>
            </w:placeholder>
          </w:sdtPr>
          <w:sdtContent>
            <w:tc>
              <w:tcPr>
                <w:tcW w:w="6858" w:type="dxa"/>
              </w:tcPr>
              <w:p w:rsidR="0099363B" w:rsidRPr="00FF6471" w:rsidRDefault="0099363B" w:rsidP="000F1DF9">
                <w:pPr>
                  <w:jc w:val="right"/>
                  <w:rPr>
                    <w:rFonts w:cs="Times New Roman"/>
                    <w:szCs w:val="24"/>
                  </w:rPr>
                </w:pPr>
                <w:r>
                  <w:rPr>
                    <w:rFonts w:cs="Times New Roman"/>
                    <w:szCs w:val="24"/>
                  </w:rPr>
                  <w:t>Business &amp; Commerce</w:t>
                </w:r>
              </w:p>
            </w:tc>
          </w:sdtContent>
        </w:sdt>
      </w:tr>
      <w:tr w:rsidR="0099363B" w:rsidTr="000F1DF9">
        <w:tc>
          <w:tcPr>
            <w:tcW w:w="2718" w:type="dxa"/>
          </w:tcPr>
          <w:p w:rsidR="0099363B" w:rsidRPr="00BC7495" w:rsidRDefault="0099363B" w:rsidP="000F1DF9">
            <w:pPr>
              <w:rPr>
                <w:rFonts w:cs="Times New Roman"/>
                <w:szCs w:val="24"/>
              </w:rPr>
            </w:pPr>
          </w:p>
        </w:tc>
        <w:sdt>
          <w:sdtPr>
            <w:rPr>
              <w:rFonts w:cs="Times New Roman"/>
              <w:szCs w:val="24"/>
            </w:rPr>
            <w:alias w:val="Date"/>
            <w:tag w:val="DateContentControl"/>
            <w:id w:val="1178081906"/>
            <w:lock w:val="sdtLocked"/>
            <w:placeholder>
              <w:docPart w:val="D510BB8779914B4BB81B2001F0ABB1C9"/>
            </w:placeholder>
            <w:date w:fullDate="2023-06-29T00:00:00Z">
              <w:dateFormat w:val="M/d/yyyy"/>
              <w:lid w:val="en-US"/>
              <w:storeMappedDataAs w:val="dateTime"/>
              <w:calendar w:val="gregorian"/>
            </w:date>
          </w:sdtPr>
          <w:sdtContent>
            <w:tc>
              <w:tcPr>
                <w:tcW w:w="6858" w:type="dxa"/>
              </w:tcPr>
              <w:p w:rsidR="0099363B" w:rsidRPr="00FF6471" w:rsidRDefault="0099363B" w:rsidP="000F1DF9">
                <w:pPr>
                  <w:jc w:val="right"/>
                  <w:rPr>
                    <w:rFonts w:cs="Times New Roman"/>
                    <w:szCs w:val="24"/>
                  </w:rPr>
                </w:pPr>
                <w:r>
                  <w:rPr>
                    <w:rFonts w:cs="Times New Roman"/>
                    <w:szCs w:val="24"/>
                  </w:rPr>
                  <w:t>6/29/2023</w:t>
                </w:r>
              </w:p>
            </w:tc>
          </w:sdtContent>
        </w:sdt>
      </w:tr>
      <w:tr w:rsidR="0099363B" w:rsidTr="000F1DF9">
        <w:tc>
          <w:tcPr>
            <w:tcW w:w="2718" w:type="dxa"/>
          </w:tcPr>
          <w:p w:rsidR="0099363B" w:rsidRPr="00BC7495" w:rsidRDefault="0099363B" w:rsidP="000F1DF9">
            <w:pPr>
              <w:rPr>
                <w:rFonts w:cs="Times New Roman"/>
                <w:szCs w:val="24"/>
              </w:rPr>
            </w:pPr>
          </w:p>
        </w:tc>
        <w:sdt>
          <w:sdtPr>
            <w:rPr>
              <w:rFonts w:cs="Times New Roman"/>
              <w:szCs w:val="24"/>
            </w:rPr>
            <w:alias w:val="BA Version"/>
            <w:tag w:val="BAVersion"/>
            <w:id w:val="-1685590809"/>
            <w:lock w:val="sdtContentLocked"/>
            <w:placeholder>
              <w:docPart w:val="40620624D1634811BF5E286D10FAE984"/>
            </w:placeholder>
          </w:sdtPr>
          <w:sdtContent>
            <w:tc>
              <w:tcPr>
                <w:tcW w:w="6858" w:type="dxa"/>
              </w:tcPr>
              <w:p w:rsidR="0099363B" w:rsidRPr="00FF6471" w:rsidRDefault="0099363B" w:rsidP="000F1DF9">
                <w:pPr>
                  <w:jc w:val="right"/>
                  <w:rPr>
                    <w:rFonts w:cs="Times New Roman"/>
                    <w:szCs w:val="24"/>
                  </w:rPr>
                </w:pPr>
                <w:r>
                  <w:rPr>
                    <w:rFonts w:cs="Times New Roman"/>
                    <w:szCs w:val="24"/>
                  </w:rPr>
                  <w:t>Enrolled</w:t>
                </w:r>
              </w:p>
            </w:tc>
          </w:sdtContent>
        </w:sdt>
      </w:tr>
    </w:tbl>
    <w:p w:rsidR="0099363B" w:rsidRPr="00FF6471" w:rsidRDefault="0099363B" w:rsidP="000F1DF9">
      <w:pPr>
        <w:spacing w:after="0" w:line="240" w:lineRule="auto"/>
        <w:rPr>
          <w:rFonts w:cs="Times New Roman"/>
          <w:szCs w:val="24"/>
        </w:rPr>
      </w:pPr>
    </w:p>
    <w:p w:rsidR="0099363B" w:rsidRPr="00FF6471" w:rsidRDefault="0099363B" w:rsidP="000F1DF9">
      <w:pPr>
        <w:spacing w:after="0" w:line="240" w:lineRule="auto"/>
        <w:rPr>
          <w:rFonts w:cs="Times New Roman"/>
          <w:szCs w:val="24"/>
        </w:rPr>
      </w:pPr>
    </w:p>
    <w:p w:rsidR="0099363B" w:rsidRPr="00FF6471" w:rsidRDefault="0099363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ED4B11408A040A0B21444FBFF33F9D5"/>
        </w:placeholder>
      </w:sdtPr>
      <w:sdtContent>
        <w:p w:rsidR="0099363B" w:rsidRDefault="0099363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0B5E5D522A44B36A17DEA43F89BB6BE"/>
        </w:placeholder>
      </w:sdtPr>
      <w:sdtEndPr/>
      <w:sdtContent>
        <w:p w:rsidR="0099363B" w:rsidRDefault="0099363B" w:rsidP="0099363B">
          <w:pPr>
            <w:pStyle w:val="NormalWeb"/>
            <w:shd w:val="clear" w:color="000000" w:fill="auto"/>
            <w:spacing w:before="0" w:beforeAutospacing="0" w:after="0" w:afterAutospacing="0"/>
            <w:jc w:val="both"/>
            <w:divId w:val="1095980014"/>
            <w:rPr>
              <w:rFonts w:eastAsia="Times New Roman" w:cstheme="minorBidi"/>
              <w:bCs/>
              <w:szCs w:val="22"/>
            </w:rPr>
          </w:pPr>
        </w:p>
        <w:p w:rsidR="0099363B" w:rsidRDefault="0099363B" w:rsidP="0099363B">
          <w:pPr>
            <w:pStyle w:val="NormalWeb"/>
            <w:shd w:val="clear" w:color="000000" w:fill="auto"/>
            <w:spacing w:before="0" w:beforeAutospacing="0" w:after="0" w:afterAutospacing="0"/>
            <w:jc w:val="both"/>
            <w:divId w:val="1095980014"/>
          </w:pPr>
          <w:r w:rsidRPr="0099363B">
            <w:t>Data brokers are key players in collecting and selling personal data to third parties. These third parties can be  companies looking to advertise their businesses or any person interested in information about someone and  willing to pay for it. Data brokers take advantage of the lack of adequate data privacy safeguards enshrined in both federal and state law, which puts vulnerable populations, such as survivors of domestic violence, victims of human trafficking, youths, and older adults, at risk for fraud and abuse.</w:t>
          </w:r>
        </w:p>
        <w:p w:rsidR="0099363B" w:rsidRPr="0099363B" w:rsidRDefault="0099363B" w:rsidP="0099363B">
          <w:pPr>
            <w:pStyle w:val="NormalWeb"/>
            <w:shd w:val="clear" w:color="000000" w:fill="auto"/>
            <w:spacing w:before="0" w:beforeAutospacing="0" w:after="0" w:afterAutospacing="0"/>
            <w:jc w:val="both"/>
            <w:divId w:val="1095980014"/>
          </w:pPr>
        </w:p>
        <w:p w:rsidR="0099363B" w:rsidRDefault="0099363B" w:rsidP="0099363B">
          <w:pPr>
            <w:pStyle w:val="NormalWeb"/>
            <w:shd w:val="clear" w:color="000000" w:fill="auto"/>
            <w:spacing w:before="0" w:beforeAutospacing="0" w:after="0" w:afterAutospacing="0"/>
            <w:jc w:val="both"/>
            <w:divId w:val="1095980014"/>
          </w:pPr>
          <w:r w:rsidRPr="0099363B">
            <w:t>S.B. 2105 creates a comprehensive framework in the Texas Business and Commerce Code to regulate data brokers and empower Texans to control the collection and sale of their personal information to these entities.</w:t>
          </w:r>
        </w:p>
        <w:p w:rsidR="0099363B" w:rsidRPr="0099363B" w:rsidRDefault="0099363B" w:rsidP="0099363B">
          <w:pPr>
            <w:pStyle w:val="NormalWeb"/>
            <w:shd w:val="clear" w:color="000000" w:fill="auto"/>
            <w:spacing w:before="0" w:beforeAutospacing="0" w:after="0" w:afterAutospacing="0"/>
            <w:jc w:val="both"/>
            <w:divId w:val="1095980014"/>
          </w:pPr>
        </w:p>
        <w:p w:rsidR="0099363B" w:rsidRDefault="0099363B" w:rsidP="0099363B">
          <w:pPr>
            <w:pStyle w:val="NormalWeb"/>
            <w:shd w:val="clear" w:color="000000" w:fill="auto"/>
            <w:spacing w:before="0" w:beforeAutospacing="0" w:after="0" w:afterAutospacing="0"/>
            <w:jc w:val="both"/>
            <w:divId w:val="1095980014"/>
          </w:pPr>
          <w:r w:rsidRPr="0099363B">
            <w:t>First, S.B. 2105 would require data brokers in the state of Texas to register annually with the secretary of state.</w:t>
          </w:r>
        </w:p>
        <w:p w:rsidR="0099363B" w:rsidRPr="0099363B" w:rsidRDefault="0099363B" w:rsidP="0099363B">
          <w:pPr>
            <w:pStyle w:val="NormalWeb"/>
            <w:shd w:val="clear" w:color="000000" w:fill="auto"/>
            <w:spacing w:before="0" w:beforeAutospacing="0" w:after="0" w:afterAutospacing="0"/>
            <w:jc w:val="both"/>
            <w:divId w:val="1095980014"/>
          </w:pPr>
        </w:p>
        <w:p w:rsidR="0099363B" w:rsidRDefault="0099363B" w:rsidP="0099363B">
          <w:pPr>
            <w:pStyle w:val="NormalWeb"/>
            <w:shd w:val="clear" w:color="000000" w:fill="auto"/>
            <w:spacing w:before="0" w:beforeAutospacing="0" w:after="0" w:afterAutospacing="0"/>
            <w:jc w:val="both"/>
            <w:divId w:val="1095980014"/>
          </w:pPr>
          <w:r w:rsidRPr="0099363B">
            <w:t>Second, in their application to register, data brokers would have to provide a notice on all online platforms used to operate their business, containing who they are, the type of data they collect and other categories designated by the secretary of state.</w:t>
          </w:r>
        </w:p>
        <w:p w:rsidR="0099363B" w:rsidRPr="0099363B" w:rsidRDefault="0099363B" w:rsidP="0099363B">
          <w:pPr>
            <w:pStyle w:val="NormalWeb"/>
            <w:shd w:val="clear" w:color="000000" w:fill="auto"/>
            <w:spacing w:before="0" w:beforeAutospacing="0" w:after="0" w:afterAutospacing="0"/>
            <w:jc w:val="both"/>
            <w:divId w:val="1095980014"/>
          </w:pPr>
        </w:p>
        <w:p w:rsidR="0099363B" w:rsidRDefault="0099363B" w:rsidP="0099363B">
          <w:pPr>
            <w:pStyle w:val="NormalWeb"/>
            <w:shd w:val="clear" w:color="000000" w:fill="auto"/>
            <w:spacing w:before="0" w:beforeAutospacing="0" w:after="0" w:afterAutospacing="0"/>
            <w:jc w:val="both"/>
            <w:divId w:val="1095980014"/>
          </w:pPr>
          <w:r w:rsidRPr="0099363B">
            <w:t>Third, the secretary of state will set up and maintain a "do not collect" registry that allows individuals to have their data deleted, which would then require data brokers to cease collecting, processing, and transferring that data.</w:t>
          </w:r>
        </w:p>
        <w:p w:rsidR="0099363B" w:rsidRPr="0099363B" w:rsidRDefault="0099363B" w:rsidP="0099363B">
          <w:pPr>
            <w:pStyle w:val="NormalWeb"/>
            <w:shd w:val="clear" w:color="000000" w:fill="auto"/>
            <w:spacing w:before="0" w:beforeAutospacing="0" w:after="0" w:afterAutospacing="0"/>
            <w:jc w:val="both"/>
            <w:divId w:val="1095980014"/>
          </w:pPr>
        </w:p>
        <w:p w:rsidR="0099363B" w:rsidRDefault="0099363B" w:rsidP="0099363B">
          <w:pPr>
            <w:pStyle w:val="NormalWeb"/>
            <w:shd w:val="clear" w:color="000000" w:fill="auto"/>
            <w:spacing w:before="0" w:beforeAutospacing="0" w:after="0" w:afterAutospacing="0"/>
            <w:jc w:val="both"/>
            <w:divId w:val="1095980014"/>
          </w:pPr>
          <w:r w:rsidRPr="0099363B">
            <w:t>Lastly, the bill also creates civil penalties for data brokers that fail to comply with the law.</w:t>
          </w:r>
        </w:p>
        <w:p w:rsidR="0099363B" w:rsidRPr="0099363B" w:rsidRDefault="0099363B" w:rsidP="0099363B">
          <w:pPr>
            <w:pStyle w:val="NormalWeb"/>
            <w:shd w:val="clear" w:color="000000" w:fill="auto"/>
            <w:spacing w:before="0" w:beforeAutospacing="0" w:after="0" w:afterAutospacing="0"/>
            <w:jc w:val="both"/>
            <w:divId w:val="1095980014"/>
          </w:pPr>
        </w:p>
        <w:p w:rsidR="0099363B" w:rsidRDefault="0099363B" w:rsidP="0099363B">
          <w:pPr>
            <w:pStyle w:val="NormalWeb"/>
            <w:shd w:val="clear" w:color="000000" w:fill="auto"/>
            <w:spacing w:before="0" w:beforeAutospacing="0" w:after="0" w:afterAutospacing="0"/>
            <w:jc w:val="both"/>
            <w:divId w:val="1095980014"/>
          </w:pPr>
          <w:r w:rsidRPr="0099363B">
            <w:t>(Original Author's/Sponsor's Statement of Intent)</w:t>
          </w:r>
        </w:p>
        <w:p w:rsidR="0099363B" w:rsidRPr="0099363B" w:rsidRDefault="0099363B" w:rsidP="0099363B">
          <w:pPr>
            <w:pStyle w:val="NormalWeb"/>
            <w:shd w:val="clear" w:color="000000" w:fill="auto"/>
            <w:spacing w:before="0" w:beforeAutospacing="0" w:after="0" w:afterAutospacing="0"/>
            <w:jc w:val="both"/>
            <w:divId w:val="1095980014"/>
          </w:pPr>
        </w:p>
        <w:p w:rsidR="0099363B" w:rsidRPr="0099363B" w:rsidRDefault="0099363B" w:rsidP="0099363B">
          <w:pPr>
            <w:pStyle w:val="NormalWeb"/>
            <w:shd w:val="clear" w:color="000000" w:fill="auto"/>
            <w:spacing w:before="0" w:beforeAutospacing="0" w:after="0" w:afterAutospacing="0"/>
            <w:jc w:val="both"/>
            <w:divId w:val="1095980014"/>
          </w:pPr>
          <w:r w:rsidRPr="0099363B">
            <w:t>Key Provisions:</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pStyle w:val="NormalWeb"/>
            <w:shd w:val="clear" w:color="000000" w:fill="auto"/>
            <w:spacing w:before="0" w:beforeAutospacing="0" w:after="0" w:afterAutospacing="0"/>
            <w:jc w:val="both"/>
            <w:divId w:val="1095980014"/>
          </w:pPr>
          <w:r w:rsidRPr="0099363B">
            <w:t>Adds Chapter 509 to the Business and Commerce Code, titled "Third Party Data Collection," to do the following:</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numPr>
              <w:ilvl w:val="0"/>
              <w:numId w:val="25"/>
            </w:numPr>
            <w:shd w:val="clear" w:color="000000" w:fill="auto"/>
            <w:spacing w:after="0" w:line="240" w:lineRule="auto"/>
            <w:jc w:val="both"/>
            <w:divId w:val="1095980014"/>
            <w:rPr>
              <w:rFonts w:eastAsia="Times New Roman"/>
            </w:rPr>
          </w:pPr>
          <w:r w:rsidRPr="0099363B">
            <w:rPr>
              <w:rFonts w:eastAsia="Times New Roman"/>
            </w:rPr>
            <w:t>Data covered by the bill—personal identifying information. Specifies that the act applies to personal identifying information from a resident of Texas that is collected, transferred, or processed by a third party data collection entity.</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numPr>
              <w:ilvl w:val="1"/>
              <w:numId w:val="26"/>
            </w:numPr>
            <w:shd w:val="clear" w:color="000000" w:fill="auto"/>
            <w:spacing w:after="0" w:line="240" w:lineRule="auto"/>
            <w:jc w:val="both"/>
            <w:divId w:val="1095980014"/>
            <w:rPr>
              <w:rFonts w:eastAsia="Times New Roman"/>
            </w:rPr>
          </w:pPr>
          <w:r w:rsidRPr="0099363B">
            <w:rPr>
              <w:rFonts w:eastAsia="Times New Roman"/>
            </w:rPr>
            <w:t>Personal identifying information as defined by Section 521.002(1), Business and Commerce Code, including:</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numPr>
              <w:ilvl w:val="2"/>
              <w:numId w:val="27"/>
            </w:numPr>
            <w:shd w:val="clear" w:color="000000" w:fill="auto"/>
            <w:spacing w:after="0" w:line="240" w:lineRule="auto"/>
            <w:jc w:val="both"/>
            <w:divId w:val="1095980014"/>
            <w:rPr>
              <w:rFonts w:eastAsia="Times New Roman"/>
            </w:rPr>
          </w:pPr>
          <w:r w:rsidRPr="0099363B">
            <w:rPr>
              <w:rFonts w:eastAsia="Times New Roman"/>
            </w:rPr>
            <w:t>Name, social security number, date of birth, government-issued identification number;</w:t>
          </w:r>
        </w:p>
        <w:p w:rsidR="0099363B" w:rsidRPr="0099363B" w:rsidRDefault="0099363B" w:rsidP="0099363B">
          <w:pPr>
            <w:numPr>
              <w:ilvl w:val="2"/>
              <w:numId w:val="27"/>
            </w:numPr>
            <w:shd w:val="clear" w:color="000000" w:fill="auto"/>
            <w:spacing w:after="0" w:line="240" w:lineRule="auto"/>
            <w:jc w:val="both"/>
            <w:divId w:val="1095980014"/>
            <w:rPr>
              <w:rFonts w:eastAsia="Times New Roman"/>
            </w:rPr>
          </w:pPr>
          <w:r w:rsidRPr="0099363B">
            <w:rPr>
              <w:rFonts w:eastAsia="Times New Roman"/>
            </w:rPr>
            <w:t>Mother's maiden name;</w:t>
          </w:r>
        </w:p>
        <w:p w:rsidR="0099363B" w:rsidRPr="0099363B" w:rsidRDefault="0099363B" w:rsidP="0099363B">
          <w:pPr>
            <w:numPr>
              <w:ilvl w:val="2"/>
              <w:numId w:val="27"/>
            </w:numPr>
            <w:shd w:val="clear" w:color="000000" w:fill="auto"/>
            <w:spacing w:after="0" w:line="240" w:lineRule="auto"/>
            <w:jc w:val="both"/>
            <w:divId w:val="1095980014"/>
            <w:rPr>
              <w:rFonts w:eastAsia="Times New Roman"/>
            </w:rPr>
          </w:pPr>
          <w:r w:rsidRPr="0099363B">
            <w:rPr>
              <w:rFonts w:eastAsia="Times New Roman"/>
            </w:rPr>
            <w:t>Unique biometric data, including the individual's fingerprint, voice print, and retina or iris image;</w:t>
          </w:r>
        </w:p>
        <w:p w:rsidR="0099363B" w:rsidRPr="0099363B" w:rsidRDefault="0099363B" w:rsidP="0099363B">
          <w:pPr>
            <w:numPr>
              <w:ilvl w:val="2"/>
              <w:numId w:val="27"/>
            </w:numPr>
            <w:shd w:val="clear" w:color="000000" w:fill="auto"/>
            <w:spacing w:after="0" w:line="240" w:lineRule="auto"/>
            <w:jc w:val="both"/>
            <w:divId w:val="1095980014"/>
            <w:rPr>
              <w:rFonts w:eastAsia="Times New Roman"/>
            </w:rPr>
          </w:pPr>
          <w:r w:rsidRPr="0099363B">
            <w:rPr>
              <w:rFonts w:eastAsia="Times New Roman"/>
            </w:rPr>
            <w:t>Unique electronic identification number, address, or routing code; and</w:t>
          </w:r>
        </w:p>
        <w:p w:rsidR="0099363B" w:rsidRPr="0099363B" w:rsidRDefault="0099363B" w:rsidP="0099363B">
          <w:pPr>
            <w:numPr>
              <w:ilvl w:val="2"/>
              <w:numId w:val="27"/>
            </w:numPr>
            <w:shd w:val="clear" w:color="000000" w:fill="auto"/>
            <w:spacing w:after="0" w:line="240" w:lineRule="auto"/>
            <w:jc w:val="both"/>
            <w:divId w:val="1095980014"/>
            <w:rPr>
              <w:rFonts w:eastAsia="Times New Roman"/>
            </w:rPr>
          </w:pPr>
          <w:r w:rsidRPr="0099363B">
            <w:rPr>
              <w:rFonts w:eastAsia="Times New Roman"/>
            </w:rPr>
            <w:t>Telecommunication access device.</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numPr>
              <w:ilvl w:val="0"/>
              <w:numId w:val="28"/>
            </w:numPr>
            <w:shd w:val="clear" w:color="000000" w:fill="auto"/>
            <w:spacing w:after="0" w:line="240" w:lineRule="auto"/>
            <w:jc w:val="both"/>
            <w:divId w:val="1095980014"/>
            <w:rPr>
              <w:rFonts w:eastAsia="Times New Roman"/>
            </w:rPr>
          </w:pPr>
          <w:r w:rsidRPr="0099363B">
            <w:rPr>
              <w:rFonts w:eastAsia="Times New Roman"/>
            </w:rPr>
            <w:t>Data exempt from the bill. Carves out data that would not be covered by the bill, such as:</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numPr>
              <w:ilvl w:val="1"/>
              <w:numId w:val="29"/>
            </w:numPr>
            <w:shd w:val="clear" w:color="000000" w:fill="auto"/>
            <w:spacing w:after="0" w:line="240" w:lineRule="auto"/>
            <w:jc w:val="both"/>
            <w:divId w:val="1095980014"/>
            <w:rPr>
              <w:rFonts w:eastAsia="Times New Roman"/>
            </w:rPr>
          </w:pPr>
          <w:r w:rsidRPr="0099363B">
            <w:rPr>
              <w:rFonts w:eastAsia="Times New Roman"/>
            </w:rPr>
            <w:t>Deidentified data, if the third party entity had taken  reasonable measures to ensure the data could not be used to identify the individual and publicly provided notice of their commitment to do so; and contractually obligated the recipient of the data to do the same.</w:t>
          </w:r>
        </w:p>
        <w:p w:rsidR="0099363B" w:rsidRPr="0099363B" w:rsidRDefault="0099363B" w:rsidP="0099363B">
          <w:pPr>
            <w:numPr>
              <w:ilvl w:val="1"/>
              <w:numId w:val="29"/>
            </w:numPr>
            <w:shd w:val="clear" w:color="000000" w:fill="auto"/>
            <w:spacing w:after="0" w:line="240" w:lineRule="auto"/>
            <w:jc w:val="both"/>
            <w:divId w:val="1095980014"/>
            <w:rPr>
              <w:rFonts w:eastAsia="Times New Roman"/>
            </w:rPr>
          </w:pPr>
          <w:r w:rsidRPr="0099363B">
            <w:rPr>
              <w:rFonts w:eastAsia="Times New Roman"/>
            </w:rPr>
            <w:t>Employee data;</w:t>
          </w:r>
        </w:p>
        <w:p w:rsidR="0099363B" w:rsidRPr="0099363B" w:rsidRDefault="0099363B" w:rsidP="0099363B">
          <w:pPr>
            <w:numPr>
              <w:ilvl w:val="1"/>
              <w:numId w:val="29"/>
            </w:numPr>
            <w:shd w:val="clear" w:color="000000" w:fill="auto"/>
            <w:spacing w:after="0" w:line="240" w:lineRule="auto"/>
            <w:jc w:val="both"/>
            <w:divId w:val="1095980014"/>
            <w:rPr>
              <w:rFonts w:eastAsia="Times New Roman"/>
            </w:rPr>
          </w:pPr>
          <w:r w:rsidRPr="0099363B">
            <w:rPr>
              <w:rFonts w:eastAsia="Times New Roman"/>
            </w:rPr>
            <w:t>Publicly available information; or</w:t>
          </w:r>
        </w:p>
        <w:p w:rsidR="0099363B" w:rsidRPr="0099363B" w:rsidRDefault="0099363B" w:rsidP="0099363B">
          <w:pPr>
            <w:numPr>
              <w:ilvl w:val="1"/>
              <w:numId w:val="29"/>
            </w:numPr>
            <w:shd w:val="clear" w:color="000000" w:fill="auto"/>
            <w:spacing w:after="0" w:line="240" w:lineRule="auto"/>
            <w:jc w:val="both"/>
            <w:divId w:val="1095980014"/>
            <w:rPr>
              <w:rFonts w:eastAsia="Times New Roman"/>
            </w:rPr>
          </w:pPr>
          <w:r w:rsidRPr="0099363B">
            <w:rPr>
              <w:rFonts w:eastAsia="Times New Roman"/>
            </w:rPr>
            <w:t>Inferences made exclusively from multiple independent sources of publicly available information that do not reveal sensitive covered data with respect to an individual.</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numPr>
              <w:ilvl w:val="0"/>
              <w:numId w:val="30"/>
            </w:numPr>
            <w:shd w:val="clear" w:color="000000" w:fill="auto"/>
            <w:spacing w:after="0" w:line="240" w:lineRule="auto"/>
            <w:jc w:val="both"/>
            <w:divId w:val="1095980014"/>
            <w:rPr>
              <w:rFonts w:eastAsia="Times New Roman"/>
            </w:rPr>
          </w:pPr>
          <w:r w:rsidRPr="0099363B">
            <w:rPr>
              <w:rFonts w:eastAsia="Times New Roman"/>
            </w:rPr>
            <w:t>Businesses exempt from the bill. Carves out businesses that would not be covered by the bill, such as:</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numPr>
              <w:ilvl w:val="1"/>
              <w:numId w:val="31"/>
            </w:numPr>
            <w:shd w:val="clear" w:color="000000" w:fill="auto"/>
            <w:spacing w:after="0" w:line="240" w:lineRule="auto"/>
            <w:jc w:val="both"/>
            <w:divId w:val="1095980014"/>
            <w:rPr>
              <w:rFonts w:eastAsia="Times New Roman"/>
            </w:rPr>
          </w:pPr>
          <w:r w:rsidRPr="0099363B">
            <w:rPr>
              <w:rFonts w:eastAsia="Times New Roman"/>
            </w:rPr>
            <w:t>Entities who process data on behalf of their clients to benefit their client's employees;</w:t>
          </w:r>
        </w:p>
        <w:p w:rsidR="0099363B" w:rsidRPr="0099363B" w:rsidRDefault="0099363B" w:rsidP="0099363B">
          <w:pPr>
            <w:numPr>
              <w:ilvl w:val="1"/>
              <w:numId w:val="31"/>
            </w:numPr>
            <w:shd w:val="clear" w:color="000000" w:fill="auto"/>
            <w:spacing w:after="0" w:line="240" w:lineRule="auto"/>
            <w:jc w:val="both"/>
            <w:divId w:val="1095980014"/>
            <w:rPr>
              <w:rFonts w:eastAsia="Times New Roman"/>
            </w:rPr>
          </w:pPr>
          <w:r w:rsidRPr="0099363B">
            <w:rPr>
              <w:rFonts w:eastAsia="Times New Roman"/>
            </w:rPr>
            <w:t>Entities under the same common ownership or corporate control sharing data amongst each other so long as a reasonable consumer would expect those entities to do so;</w:t>
          </w:r>
        </w:p>
        <w:p w:rsidR="0099363B" w:rsidRPr="0099363B" w:rsidRDefault="0099363B" w:rsidP="0099363B">
          <w:pPr>
            <w:numPr>
              <w:ilvl w:val="1"/>
              <w:numId w:val="31"/>
            </w:numPr>
            <w:shd w:val="clear" w:color="000000" w:fill="auto"/>
            <w:spacing w:after="0" w:line="240" w:lineRule="auto"/>
            <w:jc w:val="both"/>
            <w:divId w:val="1095980014"/>
            <w:rPr>
              <w:rFonts w:eastAsia="Times New Roman"/>
            </w:rPr>
          </w:pPr>
          <w:r w:rsidRPr="0099363B">
            <w:rPr>
              <w:rFonts w:eastAsia="Times New Roman"/>
            </w:rPr>
            <w:t>Service providers with respect to use of covered data;</w:t>
          </w:r>
        </w:p>
        <w:p w:rsidR="0099363B" w:rsidRPr="0099363B" w:rsidRDefault="0099363B" w:rsidP="0099363B">
          <w:pPr>
            <w:numPr>
              <w:ilvl w:val="1"/>
              <w:numId w:val="31"/>
            </w:numPr>
            <w:shd w:val="clear" w:color="000000" w:fill="auto"/>
            <w:spacing w:after="0" w:line="240" w:lineRule="auto"/>
            <w:jc w:val="both"/>
            <w:divId w:val="1095980014"/>
            <w:rPr>
              <w:rFonts w:eastAsia="Times New Roman"/>
            </w:rPr>
          </w:pPr>
          <w:r w:rsidRPr="0099363B">
            <w:rPr>
              <w:rFonts w:eastAsia="Times New Roman"/>
            </w:rPr>
            <w:t>Government entities and contractors; and</w:t>
          </w:r>
        </w:p>
        <w:p w:rsidR="0099363B" w:rsidRPr="0099363B" w:rsidRDefault="0099363B" w:rsidP="0099363B">
          <w:pPr>
            <w:numPr>
              <w:ilvl w:val="1"/>
              <w:numId w:val="31"/>
            </w:numPr>
            <w:shd w:val="clear" w:color="000000" w:fill="auto"/>
            <w:spacing w:after="0" w:line="240" w:lineRule="auto"/>
            <w:jc w:val="both"/>
            <w:divId w:val="1095980014"/>
            <w:rPr>
              <w:rFonts w:eastAsia="Times New Roman"/>
            </w:rPr>
          </w:pPr>
          <w:r w:rsidRPr="0099363B">
            <w:rPr>
              <w:rFonts w:eastAsia="Times New Roman"/>
            </w:rPr>
            <w:t>Nonprofits, resource centers, or clearinghouses that provide assistance to victims, families, child-serving professionals, and the general public on issues of missing and exploited children.</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numPr>
              <w:ilvl w:val="0"/>
              <w:numId w:val="32"/>
            </w:numPr>
            <w:shd w:val="clear" w:color="000000" w:fill="auto"/>
            <w:spacing w:after="0" w:line="240" w:lineRule="auto"/>
            <w:jc w:val="both"/>
            <w:divId w:val="1095980014"/>
            <w:rPr>
              <w:rFonts w:eastAsia="Times New Roman"/>
            </w:rPr>
          </w:pPr>
          <w:r w:rsidRPr="0099363B">
            <w:rPr>
              <w:rFonts w:eastAsia="Times New Roman"/>
            </w:rPr>
            <w:t>Notice requirement. Requires data brokers to post a clear and conspicuous notice on all platforms they operate on that states the following;</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numPr>
              <w:ilvl w:val="1"/>
              <w:numId w:val="33"/>
            </w:numPr>
            <w:shd w:val="clear" w:color="000000" w:fill="auto"/>
            <w:spacing w:after="0" w:line="240" w:lineRule="auto"/>
            <w:jc w:val="both"/>
            <w:divId w:val="1095980014"/>
            <w:rPr>
              <w:rFonts w:eastAsia="Times New Roman"/>
            </w:rPr>
          </w:pPr>
          <w:r w:rsidRPr="0099363B">
            <w:rPr>
              <w:rFonts w:eastAsia="Times New Roman"/>
            </w:rPr>
            <w:t>Its identity as a third-party collection entity;</w:t>
          </w:r>
        </w:p>
        <w:p w:rsidR="0099363B" w:rsidRPr="0099363B" w:rsidRDefault="0099363B" w:rsidP="0099363B">
          <w:pPr>
            <w:numPr>
              <w:ilvl w:val="1"/>
              <w:numId w:val="33"/>
            </w:numPr>
            <w:shd w:val="clear" w:color="000000" w:fill="auto"/>
            <w:spacing w:after="0" w:line="240" w:lineRule="auto"/>
            <w:jc w:val="both"/>
            <w:divId w:val="1095980014"/>
            <w:rPr>
              <w:rFonts w:eastAsia="Times New Roman"/>
            </w:rPr>
          </w:pPr>
          <w:r w:rsidRPr="0099363B">
            <w:rPr>
              <w:rFonts w:eastAsia="Times New Roman"/>
            </w:rPr>
            <w:t>Language provided by rule of the secretary of state for inclusion in the notice; and</w:t>
          </w:r>
        </w:p>
        <w:p w:rsidR="0099363B" w:rsidRPr="0099363B" w:rsidRDefault="0099363B" w:rsidP="0099363B">
          <w:pPr>
            <w:numPr>
              <w:ilvl w:val="1"/>
              <w:numId w:val="33"/>
            </w:numPr>
            <w:shd w:val="clear" w:color="000000" w:fill="auto"/>
            <w:spacing w:after="0" w:line="240" w:lineRule="auto"/>
            <w:jc w:val="both"/>
            <w:divId w:val="1095980014"/>
            <w:rPr>
              <w:rFonts w:eastAsia="Times New Roman"/>
            </w:rPr>
          </w:pPr>
          <w:r w:rsidRPr="0099363B">
            <w:rPr>
              <w:rFonts w:eastAsia="Times New Roman"/>
            </w:rPr>
            <w:t>Provides a link to the "do not collect" online registry.</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numPr>
              <w:ilvl w:val="0"/>
              <w:numId w:val="34"/>
            </w:numPr>
            <w:shd w:val="clear" w:color="000000" w:fill="auto"/>
            <w:spacing w:after="0" w:line="240" w:lineRule="auto"/>
            <w:jc w:val="both"/>
            <w:divId w:val="1095980014"/>
            <w:rPr>
              <w:rFonts w:eastAsia="Times New Roman"/>
            </w:rPr>
          </w:pPr>
          <w:r w:rsidRPr="0099363B">
            <w:rPr>
              <w:rFonts w:eastAsia="Times New Roman"/>
            </w:rPr>
            <w:t>Annual registration with the secretary of state. Requires data brokers to annually register with the secretary of state by filing a statement that must include:</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numPr>
              <w:ilvl w:val="1"/>
              <w:numId w:val="35"/>
            </w:numPr>
            <w:shd w:val="clear" w:color="000000" w:fill="auto"/>
            <w:spacing w:after="0" w:line="240" w:lineRule="auto"/>
            <w:jc w:val="both"/>
            <w:divId w:val="1095980014"/>
            <w:rPr>
              <w:rFonts w:eastAsia="Times New Roman"/>
            </w:rPr>
          </w:pPr>
          <w:r w:rsidRPr="0099363B">
            <w:rPr>
              <w:rFonts w:eastAsia="Times New Roman"/>
            </w:rPr>
            <w:t>Legal name; contact person; primary physical address, email address, telephone number, and Internet website address;</w:t>
          </w:r>
        </w:p>
        <w:p w:rsidR="0099363B" w:rsidRPr="0099363B" w:rsidRDefault="0099363B" w:rsidP="0099363B">
          <w:pPr>
            <w:numPr>
              <w:ilvl w:val="1"/>
              <w:numId w:val="35"/>
            </w:numPr>
            <w:shd w:val="clear" w:color="000000" w:fill="auto"/>
            <w:spacing w:after="0" w:line="240" w:lineRule="auto"/>
            <w:jc w:val="both"/>
            <w:divId w:val="1095980014"/>
            <w:rPr>
              <w:rFonts w:eastAsia="Times New Roman"/>
            </w:rPr>
          </w:pPr>
          <w:r w:rsidRPr="0099363B">
            <w:rPr>
              <w:rFonts w:eastAsia="Times New Roman"/>
            </w:rPr>
            <w:t>Description of data categories entity processes and transfers;</w:t>
          </w:r>
        </w:p>
        <w:p w:rsidR="0099363B" w:rsidRPr="0099363B" w:rsidRDefault="0099363B" w:rsidP="0099363B">
          <w:pPr>
            <w:numPr>
              <w:ilvl w:val="1"/>
              <w:numId w:val="35"/>
            </w:numPr>
            <w:shd w:val="clear" w:color="000000" w:fill="auto"/>
            <w:spacing w:after="0" w:line="240" w:lineRule="auto"/>
            <w:jc w:val="both"/>
            <w:divId w:val="1095980014"/>
            <w:rPr>
              <w:rFonts w:eastAsia="Times New Roman"/>
            </w:rPr>
          </w:pPr>
          <w:r w:rsidRPr="0099363B">
            <w:rPr>
              <w:rFonts w:eastAsia="Times New Roman"/>
            </w:rPr>
            <w:t>Whether the entity implements a purchaser credentialing process that includes taking reasonable steps to confirm that:</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numPr>
              <w:ilvl w:val="2"/>
              <w:numId w:val="36"/>
            </w:numPr>
            <w:shd w:val="clear" w:color="000000" w:fill="auto"/>
            <w:spacing w:after="0" w:line="240" w:lineRule="auto"/>
            <w:jc w:val="both"/>
            <w:divId w:val="1095980014"/>
            <w:rPr>
              <w:rFonts w:eastAsia="Times New Roman"/>
            </w:rPr>
          </w:pPr>
          <w:r w:rsidRPr="0099363B">
            <w:rPr>
              <w:rFonts w:eastAsia="Times New Roman"/>
            </w:rPr>
            <w:t>The actual identity of the customer and the customer's use of data matches what was provided to the entity; and</w:t>
          </w:r>
        </w:p>
        <w:p w:rsidR="0099363B" w:rsidRPr="0099363B" w:rsidRDefault="0099363B" w:rsidP="0099363B">
          <w:pPr>
            <w:numPr>
              <w:ilvl w:val="2"/>
              <w:numId w:val="36"/>
            </w:numPr>
            <w:shd w:val="clear" w:color="000000" w:fill="auto"/>
            <w:spacing w:after="0" w:line="240" w:lineRule="auto"/>
            <w:jc w:val="both"/>
            <w:divId w:val="1095980014"/>
            <w:rPr>
              <w:rFonts w:eastAsia="Times New Roman"/>
            </w:rPr>
          </w:pPr>
          <w:r w:rsidRPr="0099363B">
            <w:rPr>
              <w:rFonts w:eastAsia="Times New Roman"/>
            </w:rPr>
            <w:t>Customers will not use the data for a nefarious purpose.</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numPr>
              <w:ilvl w:val="1"/>
              <w:numId w:val="37"/>
            </w:numPr>
            <w:shd w:val="clear" w:color="000000" w:fill="auto"/>
            <w:spacing w:after="0" w:line="240" w:lineRule="auto"/>
            <w:jc w:val="both"/>
            <w:divId w:val="1095980014"/>
            <w:rPr>
              <w:rFonts w:eastAsia="Times New Roman"/>
            </w:rPr>
          </w:pPr>
          <w:r w:rsidRPr="0099363B">
            <w:rPr>
              <w:rFonts w:eastAsia="Times New Roman"/>
            </w:rPr>
            <w:t>If an entity has actual knowledge of possessing child personal identifying information, then must also include statements:</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numPr>
              <w:ilvl w:val="2"/>
              <w:numId w:val="38"/>
            </w:numPr>
            <w:shd w:val="clear" w:color="000000" w:fill="auto"/>
            <w:spacing w:after="0" w:line="240" w:lineRule="auto"/>
            <w:jc w:val="both"/>
            <w:divId w:val="1095980014"/>
            <w:rPr>
              <w:rFonts w:eastAsia="Times New Roman"/>
            </w:rPr>
          </w:pPr>
          <w:r w:rsidRPr="0099363B">
            <w:rPr>
              <w:rFonts w:eastAsia="Times New Roman"/>
            </w:rPr>
            <w:t>Detailing applicable data collection practices, databases, sales activities and opt-out policies;</w:t>
          </w:r>
        </w:p>
        <w:p w:rsidR="0099363B" w:rsidRPr="0099363B" w:rsidRDefault="0099363B" w:rsidP="0099363B">
          <w:pPr>
            <w:numPr>
              <w:ilvl w:val="2"/>
              <w:numId w:val="38"/>
            </w:numPr>
            <w:shd w:val="clear" w:color="000000" w:fill="auto"/>
            <w:spacing w:after="0" w:line="240" w:lineRule="auto"/>
            <w:jc w:val="both"/>
            <w:divId w:val="1095980014"/>
            <w:rPr>
              <w:rFonts w:eastAsia="Times New Roman"/>
            </w:rPr>
          </w:pPr>
          <w:r w:rsidRPr="0099363B">
            <w:rPr>
              <w:rFonts w:eastAsia="Times New Roman"/>
            </w:rPr>
            <w:t>Compliance with federal and state law on collecting, using, or disclosing child personal identifying information from and about the Internet;</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numPr>
              <w:ilvl w:val="1"/>
              <w:numId w:val="39"/>
            </w:numPr>
            <w:shd w:val="clear" w:color="000000" w:fill="auto"/>
            <w:spacing w:after="0" w:line="240" w:lineRule="auto"/>
            <w:jc w:val="both"/>
            <w:divId w:val="1095980014"/>
            <w:rPr>
              <w:rFonts w:eastAsia="Times New Roman"/>
            </w:rPr>
          </w:pPr>
          <w:r w:rsidRPr="0099363B">
            <w:rPr>
              <w:rFonts w:eastAsia="Times New Roman"/>
            </w:rPr>
            <w:t>Number of security breaches and how many consumers were affected by them in the preceding year;</w:t>
          </w:r>
        </w:p>
        <w:p w:rsidR="0099363B" w:rsidRPr="0099363B" w:rsidRDefault="0099363B" w:rsidP="0099363B">
          <w:pPr>
            <w:numPr>
              <w:ilvl w:val="1"/>
              <w:numId w:val="39"/>
            </w:numPr>
            <w:shd w:val="clear" w:color="000000" w:fill="auto"/>
            <w:spacing w:after="0" w:line="240" w:lineRule="auto"/>
            <w:jc w:val="both"/>
            <w:divId w:val="1095980014"/>
            <w:rPr>
              <w:rFonts w:eastAsia="Times New Roman"/>
            </w:rPr>
          </w:pPr>
          <w:r w:rsidRPr="0099363B">
            <w:rPr>
              <w:rFonts w:eastAsia="Times New Roman"/>
            </w:rPr>
            <w:t>Litigation or unresolved complaints related to the entity's operation;</w:t>
          </w:r>
        </w:p>
        <w:p w:rsidR="0099363B" w:rsidRPr="0099363B" w:rsidRDefault="0099363B" w:rsidP="0099363B">
          <w:pPr>
            <w:numPr>
              <w:ilvl w:val="1"/>
              <w:numId w:val="39"/>
            </w:numPr>
            <w:shd w:val="clear" w:color="000000" w:fill="auto"/>
            <w:spacing w:after="0" w:line="240" w:lineRule="auto"/>
            <w:jc w:val="both"/>
            <w:divId w:val="1095980014"/>
            <w:rPr>
              <w:rFonts w:eastAsia="Times New Roman"/>
            </w:rPr>
          </w:pPr>
          <w:r w:rsidRPr="0099363B">
            <w:rPr>
              <w:rFonts w:eastAsia="Times New Roman"/>
            </w:rPr>
            <w:t>Website link to allow individuals to easily access the "do not collect" registry.</w:t>
          </w:r>
        </w:p>
        <w:p w:rsidR="0099363B" w:rsidRPr="0099363B" w:rsidRDefault="0099363B" w:rsidP="0099363B">
          <w:pPr>
            <w:numPr>
              <w:ilvl w:val="1"/>
              <w:numId w:val="39"/>
            </w:numPr>
            <w:shd w:val="clear" w:color="000000" w:fill="auto"/>
            <w:spacing w:after="0" w:line="240" w:lineRule="auto"/>
            <w:jc w:val="both"/>
            <w:divId w:val="1095980014"/>
            <w:rPr>
              <w:rFonts w:eastAsia="Times New Roman"/>
            </w:rPr>
          </w:pPr>
          <w:r w:rsidRPr="0099363B">
            <w:rPr>
              <w:rFonts w:eastAsia="Times New Roman"/>
            </w:rPr>
            <w:t>Any other information designated by the secretary of state;</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numPr>
              <w:ilvl w:val="0"/>
              <w:numId w:val="40"/>
            </w:numPr>
            <w:shd w:val="clear" w:color="000000" w:fill="auto"/>
            <w:spacing w:after="0" w:line="240" w:lineRule="auto"/>
            <w:jc w:val="both"/>
            <w:divId w:val="1095980014"/>
            <w:rPr>
              <w:rFonts w:eastAsia="Times New Roman"/>
            </w:rPr>
          </w:pPr>
          <w:r w:rsidRPr="0099363B">
            <w:rPr>
              <w:rFonts w:eastAsia="Times New Roman"/>
            </w:rPr>
            <w:t>"Do not collect" registry. A public "do not collect" registry by the secretary of state that includes:</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numPr>
              <w:ilvl w:val="1"/>
              <w:numId w:val="41"/>
            </w:numPr>
            <w:shd w:val="clear" w:color="000000" w:fill="auto"/>
            <w:spacing w:after="0" w:line="240" w:lineRule="auto"/>
            <w:jc w:val="both"/>
            <w:divId w:val="1095980014"/>
            <w:rPr>
              <w:rFonts w:eastAsia="Times New Roman"/>
            </w:rPr>
          </w:pPr>
          <w:r w:rsidRPr="0099363B">
            <w:rPr>
              <w:rFonts w:eastAsia="Times New Roman"/>
            </w:rPr>
            <w:t>A search feature to identify a specific registered data broker;</w:t>
          </w:r>
        </w:p>
        <w:p w:rsidR="0099363B" w:rsidRPr="0099363B" w:rsidRDefault="0099363B" w:rsidP="0099363B">
          <w:pPr>
            <w:numPr>
              <w:ilvl w:val="1"/>
              <w:numId w:val="41"/>
            </w:numPr>
            <w:shd w:val="clear" w:color="000000" w:fill="auto"/>
            <w:spacing w:after="0" w:line="240" w:lineRule="auto"/>
            <w:jc w:val="both"/>
            <w:divId w:val="1095980014"/>
            <w:rPr>
              <w:rFonts w:eastAsia="Times New Roman"/>
            </w:rPr>
          </w:pPr>
          <w:r w:rsidRPr="0099363B">
            <w:rPr>
              <w:rFonts w:eastAsia="Times New Roman"/>
            </w:rPr>
            <w:t>A link and mechanism for individuals to submit "do not collect" requests to data brokers to delete the person's information within 30 days and to cease collecting, processing, or using the person's data without their "affirmative express consent."</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numPr>
              <w:ilvl w:val="2"/>
              <w:numId w:val="42"/>
            </w:numPr>
            <w:shd w:val="clear" w:color="000000" w:fill="auto"/>
            <w:spacing w:after="0" w:line="240" w:lineRule="auto"/>
            <w:jc w:val="both"/>
            <w:divId w:val="1095980014"/>
            <w:rPr>
              <w:rFonts w:eastAsia="Times New Roman"/>
            </w:rPr>
          </w:pPr>
          <w:r w:rsidRPr="0099363B">
            <w:rPr>
              <w:rFonts w:eastAsia="Times New Roman"/>
            </w:rPr>
            <w:t>Data brokers would have discretion to not comply with a request from individuals with convictions relating to child abduction or sexual exploitation nor requests from consumer reporting agencies.</w:t>
          </w:r>
        </w:p>
        <w:p w:rsidR="0099363B" w:rsidRPr="0099363B" w:rsidRDefault="0099363B" w:rsidP="0099363B">
          <w:pPr>
            <w:numPr>
              <w:ilvl w:val="2"/>
              <w:numId w:val="42"/>
            </w:numPr>
            <w:shd w:val="clear" w:color="000000" w:fill="auto"/>
            <w:spacing w:after="0" w:line="240" w:lineRule="auto"/>
            <w:jc w:val="both"/>
            <w:divId w:val="1095980014"/>
            <w:rPr>
              <w:rFonts w:eastAsia="Times New Roman"/>
            </w:rPr>
          </w:pPr>
          <w:r w:rsidRPr="0099363B">
            <w:rPr>
              <w:rFonts w:eastAsia="Times New Roman"/>
            </w:rPr>
            <w:t>This bill also defines the procedure for obtaining affirmative express consent.</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numPr>
              <w:ilvl w:val="0"/>
              <w:numId w:val="43"/>
            </w:numPr>
            <w:shd w:val="clear" w:color="000000" w:fill="auto"/>
            <w:spacing w:after="0" w:line="240" w:lineRule="auto"/>
            <w:jc w:val="both"/>
            <w:divId w:val="1095980014"/>
            <w:rPr>
              <w:rFonts w:eastAsia="Times New Roman"/>
            </w:rPr>
          </w:pPr>
          <w:r w:rsidRPr="0099363B">
            <w:rPr>
              <w:rFonts w:eastAsia="Times New Roman"/>
            </w:rPr>
            <w:t>Penalties for failure to comply. Failure for data brokers to comply with the law would:</w:t>
          </w:r>
        </w:p>
        <w:p w:rsidR="0099363B" w:rsidRPr="0099363B" w:rsidRDefault="0099363B" w:rsidP="0099363B">
          <w:pPr>
            <w:shd w:val="clear" w:color="000000" w:fill="auto"/>
            <w:spacing w:after="0" w:line="240" w:lineRule="auto"/>
            <w:jc w:val="both"/>
            <w:divId w:val="1095980014"/>
            <w:rPr>
              <w:rFonts w:eastAsia="Times New Roman"/>
            </w:rPr>
          </w:pPr>
        </w:p>
        <w:p w:rsidR="0099363B" w:rsidRPr="0099363B" w:rsidRDefault="0099363B" w:rsidP="0099363B">
          <w:pPr>
            <w:numPr>
              <w:ilvl w:val="1"/>
              <w:numId w:val="44"/>
            </w:numPr>
            <w:shd w:val="clear" w:color="000000" w:fill="auto"/>
            <w:spacing w:after="0" w:line="240" w:lineRule="auto"/>
            <w:jc w:val="both"/>
            <w:divId w:val="1095980014"/>
            <w:rPr>
              <w:rFonts w:eastAsia="Times New Roman"/>
            </w:rPr>
          </w:pPr>
          <w:r w:rsidRPr="0099363B">
            <w:rPr>
              <w:rFonts w:eastAsia="Times New Roman"/>
            </w:rPr>
            <w:t>Result in civil penalties that must be:</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numPr>
              <w:ilvl w:val="2"/>
              <w:numId w:val="45"/>
            </w:numPr>
            <w:shd w:val="clear" w:color="000000" w:fill="auto"/>
            <w:spacing w:after="0" w:line="240" w:lineRule="auto"/>
            <w:jc w:val="both"/>
            <w:divId w:val="1095980014"/>
            <w:rPr>
              <w:rFonts w:eastAsia="Times New Roman"/>
            </w:rPr>
          </w:pPr>
          <w:r w:rsidRPr="0099363B">
            <w:rPr>
              <w:rFonts w:eastAsia="Times New Roman"/>
            </w:rPr>
            <w:t>More than $100 for each day the entity is in violation and amount of unpaid registration fees; but</w:t>
          </w:r>
        </w:p>
        <w:p w:rsidR="0099363B" w:rsidRPr="0099363B" w:rsidRDefault="0099363B" w:rsidP="0099363B">
          <w:pPr>
            <w:numPr>
              <w:ilvl w:val="2"/>
              <w:numId w:val="45"/>
            </w:numPr>
            <w:shd w:val="clear" w:color="000000" w:fill="auto"/>
            <w:spacing w:after="0" w:line="240" w:lineRule="auto"/>
            <w:jc w:val="both"/>
            <w:divId w:val="1095980014"/>
            <w:rPr>
              <w:rFonts w:eastAsia="Times New Roman"/>
            </w:rPr>
          </w:pPr>
          <w:r w:rsidRPr="0099363B">
            <w:rPr>
              <w:rFonts w:eastAsia="Times New Roman"/>
            </w:rPr>
            <w:t>Less than $10,000 assessed against the same entity in a 12-month period; and</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numPr>
              <w:ilvl w:val="1"/>
              <w:numId w:val="46"/>
            </w:numPr>
            <w:shd w:val="clear" w:color="000000" w:fill="auto"/>
            <w:spacing w:after="0" w:line="240" w:lineRule="auto"/>
            <w:jc w:val="both"/>
            <w:divId w:val="1095980014"/>
            <w:rPr>
              <w:rFonts w:eastAsia="Times New Roman"/>
            </w:rPr>
          </w:pPr>
          <w:r w:rsidRPr="0099363B">
            <w:rPr>
              <w:rFonts w:eastAsia="Times New Roman"/>
            </w:rPr>
            <w:t>Constitute a deceptive trade practice under Chapter 17 of the Business and Commerce Code and render the entity liable to action by the attorney general's consumer protection division.</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pStyle w:val="NormalWeb"/>
            <w:shd w:val="clear" w:color="000000" w:fill="auto"/>
            <w:spacing w:before="0" w:beforeAutospacing="0" w:after="0" w:afterAutospacing="0"/>
            <w:jc w:val="both"/>
            <w:divId w:val="1095980014"/>
          </w:pPr>
          <w:r w:rsidRPr="0099363B">
            <w:t>Committee Substitute:</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numPr>
              <w:ilvl w:val="0"/>
              <w:numId w:val="47"/>
            </w:numPr>
            <w:shd w:val="clear" w:color="000000" w:fill="auto"/>
            <w:spacing w:after="0" w:line="240" w:lineRule="auto"/>
            <w:jc w:val="both"/>
            <w:divId w:val="1095980014"/>
            <w:rPr>
              <w:rFonts w:eastAsia="Times New Roman"/>
            </w:rPr>
          </w:pPr>
          <w:r w:rsidRPr="0099363B">
            <w:rPr>
              <w:rFonts w:eastAsia="Times New Roman"/>
            </w:rPr>
            <w:t>Replaces "third-party data collection entity" with "data broker" to align with comparable state data broker laws; </w:t>
          </w:r>
        </w:p>
        <w:p w:rsidR="0099363B" w:rsidRPr="0099363B" w:rsidRDefault="0099363B" w:rsidP="0099363B">
          <w:pPr>
            <w:numPr>
              <w:ilvl w:val="0"/>
              <w:numId w:val="47"/>
            </w:numPr>
            <w:shd w:val="clear" w:color="000000" w:fill="auto"/>
            <w:spacing w:after="0" w:line="240" w:lineRule="auto"/>
            <w:jc w:val="both"/>
            <w:divId w:val="1095980014"/>
            <w:rPr>
              <w:rFonts w:eastAsia="Times New Roman"/>
            </w:rPr>
          </w:pPr>
          <w:r w:rsidRPr="0099363B">
            <w:rPr>
              <w:rFonts w:eastAsia="Times New Roman"/>
            </w:rPr>
            <w:t>Amends multiple definitions to better comply with state and federal data privacy regulations;</w:t>
          </w:r>
        </w:p>
        <w:p w:rsidR="0099363B" w:rsidRPr="0099363B" w:rsidRDefault="0099363B" w:rsidP="0099363B">
          <w:pPr>
            <w:numPr>
              <w:ilvl w:val="0"/>
              <w:numId w:val="47"/>
            </w:numPr>
            <w:shd w:val="clear" w:color="000000" w:fill="auto"/>
            <w:spacing w:after="0" w:line="240" w:lineRule="auto"/>
            <w:jc w:val="both"/>
            <w:divId w:val="1095980014"/>
            <w:rPr>
              <w:rFonts w:eastAsia="Times New Roman"/>
            </w:rPr>
          </w:pPr>
          <w:r w:rsidRPr="0099363B">
            <w:rPr>
              <w:rFonts w:eastAsia="Times New Roman"/>
            </w:rPr>
            <w:t>Ensures that activities of federal, state, tribal, territorial, and government entities are exempt;</w:t>
          </w:r>
        </w:p>
        <w:p w:rsidR="0099363B" w:rsidRPr="0099363B" w:rsidRDefault="0099363B" w:rsidP="0099363B">
          <w:pPr>
            <w:numPr>
              <w:ilvl w:val="0"/>
              <w:numId w:val="47"/>
            </w:numPr>
            <w:shd w:val="clear" w:color="000000" w:fill="auto"/>
            <w:spacing w:after="0" w:line="240" w:lineRule="auto"/>
            <w:jc w:val="both"/>
            <w:divId w:val="1095980014"/>
            <w:rPr>
              <w:rFonts w:eastAsia="Times New Roman"/>
            </w:rPr>
          </w:pPr>
          <w:r w:rsidRPr="0099363B">
            <w:rPr>
              <w:rFonts w:eastAsia="Times New Roman"/>
            </w:rPr>
            <w:t>Clarifies the necessary information required for data brokers to disclose when registering with the secretary of state;</w:t>
          </w:r>
        </w:p>
        <w:p w:rsidR="0099363B" w:rsidRPr="0099363B" w:rsidRDefault="0099363B" w:rsidP="0099363B">
          <w:pPr>
            <w:numPr>
              <w:ilvl w:val="0"/>
              <w:numId w:val="47"/>
            </w:numPr>
            <w:shd w:val="clear" w:color="000000" w:fill="auto"/>
            <w:spacing w:after="0" w:line="240" w:lineRule="auto"/>
            <w:jc w:val="both"/>
            <w:divId w:val="1095980014"/>
            <w:rPr>
              <w:rFonts w:eastAsia="Times New Roman"/>
            </w:rPr>
          </w:pPr>
          <w:r w:rsidRPr="0099363B">
            <w:rPr>
              <w:rFonts w:eastAsia="Times New Roman"/>
            </w:rPr>
            <w:t>Removes language requiring the establishment of a "do not collect" registry, which would have allowed consumers residing in Texas to opt out of the collection and sale of their personal data with a one-time online submission;</w:t>
          </w:r>
        </w:p>
        <w:p w:rsidR="0099363B" w:rsidRPr="0099363B" w:rsidRDefault="0099363B" w:rsidP="0099363B">
          <w:pPr>
            <w:numPr>
              <w:ilvl w:val="0"/>
              <w:numId w:val="47"/>
            </w:numPr>
            <w:shd w:val="clear" w:color="000000" w:fill="auto"/>
            <w:spacing w:after="0" w:line="240" w:lineRule="auto"/>
            <w:jc w:val="both"/>
            <w:divId w:val="1095980014"/>
            <w:rPr>
              <w:rFonts w:eastAsia="Times New Roman"/>
            </w:rPr>
          </w:pPr>
          <w:r w:rsidRPr="0099363B">
            <w:rPr>
              <w:rFonts w:eastAsia="Times New Roman"/>
            </w:rPr>
            <w:t>Enhances the protection of personal data by requiring data brokers to implement and maintain a Comprehensive Information Security Program;</w:t>
          </w:r>
        </w:p>
        <w:p w:rsidR="0099363B" w:rsidRPr="0099363B" w:rsidRDefault="0099363B" w:rsidP="0099363B">
          <w:pPr>
            <w:numPr>
              <w:ilvl w:val="0"/>
              <w:numId w:val="47"/>
            </w:numPr>
            <w:shd w:val="clear" w:color="000000" w:fill="auto"/>
            <w:spacing w:after="0" w:line="240" w:lineRule="auto"/>
            <w:jc w:val="both"/>
            <w:divId w:val="1095980014"/>
            <w:rPr>
              <w:rFonts w:eastAsia="Times New Roman"/>
            </w:rPr>
          </w:pPr>
          <w:r w:rsidRPr="0099363B">
            <w:rPr>
              <w:rFonts w:eastAsia="Times New Roman"/>
            </w:rPr>
            <w:t>Changes the applicability of a Deceptive Trade Practice violation to failure of a data broker to implement and maintain a Comprehensive Information Security Program;</w:t>
          </w:r>
        </w:p>
        <w:p w:rsidR="0099363B" w:rsidRPr="0099363B" w:rsidRDefault="0099363B" w:rsidP="0099363B">
          <w:pPr>
            <w:numPr>
              <w:ilvl w:val="0"/>
              <w:numId w:val="47"/>
            </w:numPr>
            <w:shd w:val="clear" w:color="000000" w:fill="auto"/>
            <w:spacing w:after="0" w:line="240" w:lineRule="auto"/>
            <w:jc w:val="both"/>
            <w:divId w:val="1095980014"/>
            <w:rPr>
              <w:rFonts w:eastAsia="Times New Roman"/>
            </w:rPr>
          </w:pPr>
          <w:r w:rsidRPr="0099363B">
            <w:rPr>
              <w:rFonts w:eastAsia="Times New Roman"/>
            </w:rPr>
            <w:t>Ensures that activities of financial institutions and credit reporting agencies subject to applicable federal law are exempt;</w:t>
          </w:r>
        </w:p>
        <w:p w:rsidR="0099363B" w:rsidRPr="0099363B" w:rsidRDefault="0099363B" w:rsidP="0099363B">
          <w:pPr>
            <w:numPr>
              <w:ilvl w:val="0"/>
              <w:numId w:val="47"/>
            </w:numPr>
            <w:shd w:val="clear" w:color="000000" w:fill="auto"/>
            <w:spacing w:after="0" w:line="240" w:lineRule="auto"/>
            <w:jc w:val="both"/>
            <w:divId w:val="1095980014"/>
            <w:rPr>
              <w:rFonts w:eastAsia="Times New Roman"/>
            </w:rPr>
          </w:pPr>
          <w:r w:rsidRPr="0099363B">
            <w:rPr>
              <w:rFonts w:eastAsia="Times New Roman"/>
            </w:rPr>
            <w:t>Removes language requiring data brokers to ask their customers to disclose what they intend to do with the data they provide;</w:t>
          </w:r>
        </w:p>
        <w:p w:rsidR="0099363B" w:rsidRPr="0099363B" w:rsidRDefault="0099363B" w:rsidP="0099363B">
          <w:pPr>
            <w:numPr>
              <w:ilvl w:val="0"/>
              <w:numId w:val="47"/>
            </w:numPr>
            <w:shd w:val="clear" w:color="000000" w:fill="auto"/>
            <w:spacing w:after="0" w:line="240" w:lineRule="auto"/>
            <w:jc w:val="both"/>
            <w:divId w:val="1095980014"/>
            <w:rPr>
              <w:rFonts w:eastAsia="Times New Roman"/>
            </w:rPr>
          </w:pPr>
          <w:r w:rsidRPr="0099363B">
            <w:rPr>
              <w:rFonts w:eastAsia="Times New Roman"/>
            </w:rPr>
            <w:t>Aligns data broker reporting requirements with the federal Child Online Privacy and Protection Act; and</w:t>
          </w:r>
        </w:p>
        <w:p w:rsidR="0099363B" w:rsidRPr="0099363B" w:rsidRDefault="0099363B" w:rsidP="0099363B">
          <w:pPr>
            <w:numPr>
              <w:ilvl w:val="0"/>
              <w:numId w:val="47"/>
            </w:numPr>
            <w:shd w:val="clear" w:color="000000" w:fill="auto"/>
            <w:spacing w:after="0" w:line="240" w:lineRule="auto"/>
            <w:jc w:val="both"/>
            <w:divId w:val="1095980014"/>
            <w:rPr>
              <w:rFonts w:eastAsia="Times New Roman"/>
            </w:rPr>
          </w:pPr>
          <w:r w:rsidRPr="0099363B">
            <w:rPr>
              <w:rFonts w:eastAsia="Times New Roman"/>
            </w:rPr>
            <w:t>Ensures that secretary of state rulemaking takes into account the time necessary for data brokers to come into compliance.</w:t>
          </w:r>
        </w:p>
        <w:p w:rsidR="0099363B" w:rsidRPr="0099363B" w:rsidRDefault="0099363B" w:rsidP="0099363B">
          <w:pPr>
            <w:pStyle w:val="NormalWeb"/>
            <w:shd w:val="clear" w:color="000000" w:fill="auto"/>
            <w:spacing w:before="0" w:beforeAutospacing="0" w:after="0" w:afterAutospacing="0"/>
            <w:jc w:val="both"/>
            <w:divId w:val="1095980014"/>
          </w:pPr>
          <w:r w:rsidRPr="0099363B">
            <w:t> </w:t>
          </w:r>
        </w:p>
        <w:p w:rsidR="0099363B" w:rsidRPr="0099363B" w:rsidRDefault="0099363B" w:rsidP="0099363B">
          <w:pPr>
            <w:pStyle w:val="NormalWeb"/>
            <w:shd w:val="clear" w:color="000000" w:fill="auto"/>
            <w:spacing w:before="0" w:beforeAutospacing="0" w:after="0" w:afterAutospacing="0"/>
            <w:jc w:val="both"/>
            <w:divId w:val="1095980014"/>
          </w:pPr>
          <w:r w:rsidRPr="0099363B">
            <w:t>Support:</w:t>
          </w:r>
        </w:p>
        <w:p w:rsidR="0099363B" w:rsidRPr="0099363B" w:rsidRDefault="0099363B" w:rsidP="0099363B">
          <w:pPr>
            <w:numPr>
              <w:ilvl w:val="0"/>
              <w:numId w:val="48"/>
            </w:numPr>
            <w:shd w:val="clear" w:color="000000" w:fill="auto"/>
            <w:spacing w:after="0" w:line="240" w:lineRule="auto"/>
            <w:jc w:val="both"/>
            <w:divId w:val="1095980014"/>
            <w:rPr>
              <w:rFonts w:eastAsia="Times New Roman"/>
            </w:rPr>
          </w:pPr>
          <w:r w:rsidRPr="0099363B">
            <w:rPr>
              <w:rFonts w:eastAsia="Times New Roman"/>
            </w:rPr>
            <w:t>Texas Appleseed</w:t>
          </w:r>
        </w:p>
        <w:p w:rsidR="0099363B" w:rsidRPr="0099363B" w:rsidRDefault="0099363B" w:rsidP="0099363B">
          <w:pPr>
            <w:numPr>
              <w:ilvl w:val="0"/>
              <w:numId w:val="48"/>
            </w:numPr>
            <w:shd w:val="clear" w:color="000000" w:fill="auto"/>
            <w:spacing w:after="0" w:line="240" w:lineRule="auto"/>
            <w:jc w:val="both"/>
            <w:divId w:val="1095980014"/>
            <w:rPr>
              <w:rFonts w:eastAsia="Times New Roman"/>
            </w:rPr>
          </w:pPr>
          <w:r w:rsidRPr="0099363B">
            <w:rPr>
              <w:rFonts w:eastAsia="Times New Roman"/>
            </w:rPr>
            <w:t>Texas Public Policy Foundation</w:t>
          </w:r>
        </w:p>
        <w:p w:rsidR="0099363B" w:rsidRPr="0099363B" w:rsidRDefault="0099363B" w:rsidP="0099363B">
          <w:pPr>
            <w:numPr>
              <w:ilvl w:val="0"/>
              <w:numId w:val="48"/>
            </w:numPr>
            <w:shd w:val="clear" w:color="000000" w:fill="auto"/>
            <w:spacing w:after="0" w:line="240" w:lineRule="auto"/>
            <w:jc w:val="both"/>
            <w:divId w:val="1095980014"/>
            <w:rPr>
              <w:rFonts w:eastAsia="Times New Roman"/>
            </w:rPr>
          </w:pPr>
          <w:r w:rsidRPr="0099363B">
            <w:rPr>
              <w:rFonts w:eastAsia="Times New Roman"/>
            </w:rPr>
            <w:t>Texas Council on Family Violence</w:t>
          </w:r>
        </w:p>
        <w:p w:rsidR="0099363B" w:rsidRPr="00D70925" w:rsidRDefault="0099363B" w:rsidP="0099363B">
          <w:pPr>
            <w:shd w:val="clear" w:color="000000" w:fill="auto"/>
            <w:spacing w:after="0" w:line="240" w:lineRule="auto"/>
            <w:jc w:val="both"/>
            <w:rPr>
              <w:rFonts w:eastAsia="Times New Roman" w:cs="Times New Roman"/>
              <w:bCs/>
              <w:szCs w:val="24"/>
            </w:rPr>
          </w:pPr>
        </w:p>
      </w:sdtContent>
    </w:sdt>
    <w:p w:rsidR="0099363B" w:rsidRDefault="0099363B" w:rsidP="00305DB3">
      <w:pPr>
        <w:spacing w:after="0" w:line="240" w:lineRule="auto"/>
        <w:jc w:val="both"/>
      </w:pPr>
      <w:bookmarkStart w:id="0" w:name="EnrolledProposed"/>
      <w:bookmarkEnd w:id="0"/>
      <w:r>
        <w:rPr>
          <w:rFonts w:cs="Times New Roman"/>
          <w:szCs w:val="24"/>
        </w:rPr>
        <w:t xml:space="preserve">S.B. 2105 </w:t>
      </w:r>
      <w:bookmarkStart w:id="1" w:name="AmendsCurrentLaw"/>
      <w:bookmarkEnd w:id="1"/>
      <w:r>
        <w:rPr>
          <w:rFonts w:cs="Times New Roman"/>
          <w:szCs w:val="24"/>
        </w:rPr>
        <w:t xml:space="preserve">amends current law </w:t>
      </w:r>
      <w:r>
        <w:t>relating to the registration of and certain other requirements relating to data brokers, provides a civil penalty, and authorizes a fee.</w:t>
      </w:r>
    </w:p>
    <w:p w:rsidR="0099363B" w:rsidRPr="00305DB3" w:rsidRDefault="0099363B" w:rsidP="000F1DF9">
      <w:pPr>
        <w:spacing w:after="0" w:line="240" w:lineRule="auto"/>
        <w:jc w:val="both"/>
        <w:rPr>
          <w:rFonts w:eastAsia="Times New Roman" w:cs="Times New Roman"/>
          <w:szCs w:val="24"/>
        </w:rPr>
      </w:pPr>
    </w:p>
    <w:p w:rsidR="0099363B" w:rsidRPr="005C2A78" w:rsidRDefault="0099363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0F942B38EE540CF804FE5F87E05B535"/>
          </w:placeholder>
        </w:sdtPr>
        <w:sdtContent>
          <w:r>
            <w:rPr>
              <w:rFonts w:eastAsia="Times New Roman" w:cs="Times New Roman"/>
              <w:b/>
              <w:szCs w:val="24"/>
              <w:u w:val="single"/>
            </w:rPr>
            <w:t>RULEMAKING AUTHORITY</w:t>
          </w:r>
        </w:sdtContent>
      </w:sdt>
    </w:p>
    <w:p w:rsidR="0099363B" w:rsidRPr="006529C4" w:rsidRDefault="0099363B" w:rsidP="00774EC7">
      <w:pPr>
        <w:spacing w:after="0" w:line="240" w:lineRule="auto"/>
        <w:jc w:val="both"/>
        <w:rPr>
          <w:rFonts w:cs="Times New Roman"/>
          <w:szCs w:val="24"/>
        </w:rPr>
      </w:pPr>
    </w:p>
    <w:p w:rsidR="0099363B" w:rsidRPr="006529C4" w:rsidRDefault="0099363B" w:rsidP="00774EC7">
      <w:pPr>
        <w:spacing w:after="0" w:line="240" w:lineRule="auto"/>
        <w:jc w:val="both"/>
        <w:rPr>
          <w:rFonts w:cs="Times New Roman"/>
          <w:szCs w:val="24"/>
        </w:rPr>
      </w:pPr>
      <w:r>
        <w:rPr>
          <w:rFonts w:cs="Times New Roman"/>
          <w:szCs w:val="24"/>
        </w:rPr>
        <w:t>Rulemaking authority is expressly granted to the secretary of state in SECTION 1 (Section 509.010, Business and Commerce Code) of this bill.</w:t>
      </w:r>
    </w:p>
    <w:p w:rsidR="0099363B" w:rsidRPr="006529C4" w:rsidRDefault="0099363B" w:rsidP="00774EC7">
      <w:pPr>
        <w:spacing w:after="0" w:line="240" w:lineRule="auto"/>
        <w:jc w:val="both"/>
        <w:rPr>
          <w:rFonts w:cs="Times New Roman"/>
          <w:szCs w:val="24"/>
        </w:rPr>
      </w:pPr>
    </w:p>
    <w:p w:rsidR="0099363B" w:rsidRPr="005C2A78" w:rsidRDefault="0099363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415237E959C4B6C9BB406236D2CAB33"/>
          </w:placeholder>
        </w:sdtPr>
        <w:sdtContent>
          <w:r>
            <w:rPr>
              <w:rFonts w:eastAsia="Times New Roman" w:cs="Times New Roman"/>
              <w:b/>
              <w:szCs w:val="24"/>
              <w:u w:val="single"/>
            </w:rPr>
            <w:t>SECTION BY SECTION ANALYSIS</w:t>
          </w:r>
        </w:sdtContent>
      </w:sdt>
    </w:p>
    <w:p w:rsidR="0099363B" w:rsidRPr="005C2A78" w:rsidRDefault="0099363B" w:rsidP="000F1DF9">
      <w:pPr>
        <w:spacing w:after="0" w:line="240" w:lineRule="auto"/>
        <w:jc w:val="both"/>
        <w:rPr>
          <w:rFonts w:eastAsia="Times New Roman" w:cs="Times New Roman"/>
          <w:szCs w:val="24"/>
        </w:rPr>
      </w:pPr>
    </w:p>
    <w:p w:rsidR="0099363B" w:rsidRDefault="0099363B" w:rsidP="00305DB3">
      <w:pPr>
        <w:spacing w:after="0" w:line="240" w:lineRule="auto"/>
        <w:jc w:val="both"/>
        <w:rPr>
          <w:rFonts w:eastAsia="Times New Roman" w:cs="Times New Roman"/>
          <w:szCs w:val="24"/>
        </w:rPr>
      </w:pPr>
      <w:r w:rsidRPr="0007310F">
        <w:rPr>
          <w:rFonts w:eastAsia="Times New Roman" w:cs="Times New Roman"/>
          <w:szCs w:val="24"/>
        </w:rPr>
        <w:t>SECTION 1</w:t>
      </w:r>
      <w:r>
        <w:rPr>
          <w:rFonts w:eastAsia="Times New Roman" w:cs="Times New Roman"/>
          <w:szCs w:val="24"/>
        </w:rPr>
        <w:t xml:space="preserve">. Amends </w:t>
      </w:r>
      <w:r w:rsidRPr="0007310F">
        <w:rPr>
          <w:rFonts w:eastAsia="Times New Roman" w:cs="Times New Roman"/>
          <w:szCs w:val="24"/>
        </w:rPr>
        <w:t xml:space="preserve">Subtitle A, Title 11, Business </w:t>
      </w:r>
      <w:r>
        <w:rPr>
          <w:rFonts w:eastAsia="Times New Roman" w:cs="Times New Roman"/>
          <w:szCs w:val="24"/>
        </w:rPr>
        <w:t>and</w:t>
      </w:r>
      <w:r w:rsidRPr="0007310F">
        <w:rPr>
          <w:rFonts w:eastAsia="Times New Roman" w:cs="Times New Roman"/>
          <w:szCs w:val="24"/>
        </w:rPr>
        <w:t xml:space="preserve"> Commerce Code, by adding Chapter 509</w:t>
      </w:r>
      <w:r>
        <w:rPr>
          <w:rFonts w:eastAsia="Times New Roman" w:cs="Times New Roman"/>
          <w:szCs w:val="24"/>
        </w:rPr>
        <w:t xml:space="preserve">, </w:t>
      </w:r>
      <w:r w:rsidRPr="0007310F">
        <w:rPr>
          <w:rFonts w:eastAsia="Times New Roman" w:cs="Times New Roman"/>
          <w:szCs w:val="24"/>
        </w:rPr>
        <w:t>as follows:</w:t>
      </w:r>
    </w:p>
    <w:p w:rsidR="0099363B" w:rsidRPr="0007310F" w:rsidRDefault="0099363B" w:rsidP="00305DB3">
      <w:pPr>
        <w:spacing w:after="0" w:line="240" w:lineRule="auto"/>
        <w:jc w:val="both"/>
        <w:rPr>
          <w:rFonts w:eastAsia="Times New Roman" w:cs="Times New Roman"/>
          <w:szCs w:val="24"/>
        </w:rPr>
      </w:pPr>
    </w:p>
    <w:p w:rsidR="0099363B" w:rsidRPr="0007310F" w:rsidRDefault="0099363B" w:rsidP="00305DB3">
      <w:pPr>
        <w:spacing w:after="0" w:line="240" w:lineRule="auto"/>
        <w:jc w:val="center"/>
        <w:rPr>
          <w:rFonts w:eastAsia="Times New Roman" w:cs="Times New Roman"/>
          <w:szCs w:val="24"/>
        </w:rPr>
      </w:pPr>
      <w:r w:rsidRPr="0007310F">
        <w:rPr>
          <w:rFonts w:eastAsia="Times New Roman" w:cs="Times New Roman"/>
          <w:szCs w:val="24"/>
        </w:rPr>
        <w:t>CHAPTER 509</w:t>
      </w:r>
      <w:r>
        <w:rPr>
          <w:rFonts w:eastAsia="Times New Roman" w:cs="Times New Roman"/>
          <w:szCs w:val="24"/>
        </w:rPr>
        <w:t xml:space="preserve">. </w:t>
      </w:r>
      <w:r w:rsidRPr="0007310F">
        <w:rPr>
          <w:rFonts w:eastAsia="Times New Roman" w:cs="Times New Roman"/>
          <w:szCs w:val="24"/>
        </w:rPr>
        <w:t>DATA BROKERS</w:t>
      </w:r>
    </w:p>
    <w:p w:rsidR="0099363B" w:rsidRDefault="0099363B" w:rsidP="00305DB3">
      <w:pPr>
        <w:spacing w:after="0" w:line="240" w:lineRule="auto"/>
        <w:jc w:val="both"/>
        <w:rPr>
          <w:rFonts w:eastAsia="Times New Roman" w:cs="Times New Roman"/>
          <w:szCs w:val="24"/>
        </w:rPr>
      </w:pPr>
    </w:p>
    <w:p w:rsidR="0099363B" w:rsidRDefault="0099363B" w:rsidP="00305DB3">
      <w:pPr>
        <w:spacing w:after="0" w:line="240" w:lineRule="auto"/>
        <w:ind w:left="720"/>
        <w:jc w:val="both"/>
        <w:rPr>
          <w:rFonts w:eastAsia="Times New Roman" w:cs="Times New Roman"/>
          <w:szCs w:val="24"/>
        </w:rPr>
      </w:pPr>
      <w:r w:rsidRPr="0007310F">
        <w:rPr>
          <w:rFonts w:eastAsia="Times New Roman" w:cs="Times New Roman"/>
          <w:szCs w:val="24"/>
        </w:rPr>
        <w:t>Sec. 509.001</w:t>
      </w:r>
      <w:r>
        <w:rPr>
          <w:rFonts w:eastAsia="Times New Roman" w:cs="Times New Roman"/>
          <w:szCs w:val="24"/>
        </w:rPr>
        <w:t xml:space="preserve">. </w:t>
      </w:r>
      <w:r w:rsidRPr="0007310F">
        <w:rPr>
          <w:rFonts w:eastAsia="Times New Roman" w:cs="Times New Roman"/>
          <w:szCs w:val="24"/>
        </w:rPr>
        <w:t>DEFINITIONS</w:t>
      </w:r>
      <w:r>
        <w:rPr>
          <w:rFonts w:eastAsia="Times New Roman" w:cs="Times New Roman"/>
          <w:szCs w:val="24"/>
        </w:rPr>
        <w:t>. Defines "b</w:t>
      </w:r>
      <w:r w:rsidRPr="0007310F">
        <w:rPr>
          <w:rFonts w:eastAsia="Times New Roman" w:cs="Times New Roman"/>
          <w:szCs w:val="24"/>
        </w:rPr>
        <w:t>iometric data</w:t>
      </w:r>
      <w:r>
        <w:rPr>
          <w:rFonts w:eastAsia="Times New Roman" w:cs="Times New Roman"/>
          <w:szCs w:val="24"/>
        </w:rPr>
        <w:t>,</w:t>
      </w:r>
      <w:r w:rsidRPr="0007310F">
        <w:rPr>
          <w:rFonts w:eastAsia="Times New Roman" w:cs="Times New Roman"/>
          <w:szCs w:val="24"/>
        </w:rPr>
        <w:t>"</w:t>
      </w:r>
      <w:r>
        <w:rPr>
          <w:rFonts w:eastAsia="Times New Roman" w:cs="Times New Roman"/>
          <w:szCs w:val="24"/>
        </w:rPr>
        <w:t xml:space="preserve"> "child," "c</w:t>
      </w:r>
      <w:r w:rsidRPr="0007310F">
        <w:rPr>
          <w:rFonts w:eastAsia="Times New Roman" w:cs="Times New Roman"/>
          <w:szCs w:val="24"/>
        </w:rPr>
        <w:t xml:space="preserve">ollect," </w:t>
      </w:r>
      <w:r>
        <w:rPr>
          <w:rFonts w:eastAsia="Times New Roman" w:cs="Times New Roman"/>
          <w:szCs w:val="24"/>
        </w:rPr>
        <w:t>"d</w:t>
      </w:r>
      <w:r w:rsidRPr="0007310F">
        <w:rPr>
          <w:rFonts w:eastAsia="Times New Roman" w:cs="Times New Roman"/>
          <w:szCs w:val="24"/>
        </w:rPr>
        <w:t>ata broker</w:t>
      </w:r>
      <w:r>
        <w:rPr>
          <w:rFonts w:eastAsia="Times New Roman" w:cs="Times New Roman"/>
          <w:szCs w:val="24"/>
        </w:rPr>
        <w:t>,</w:t>
      </w:r>
      <w:r w:rsidRPr="0007310F">
        <w:rPr>
          <w:rFonts w:eastAsia="Times New Roman" w:cs="Times New Roman"/>
          <w:szCs w:val="24"/>
        </w:rPr>
        <w:t xml:space="preserve">" </w:t>
      </w:r>
      <w:r>
        <w:rPr>
          <w:rFonts w:eastAsia="Times New Roman" w:cs="Times New Roman"/>
          <w:szCs w:val="24"/>
        </w:rPr>
        <w:t>"d</w:t>
      </w:r>
      <w:r w:rsidRPr="0007310F">
        <w:rPr>
          <w:rFonts w:eastAsia="Times New Roman" w:cs="Times New Roman"/>
          <w:szCs w:val="24"/>
        </w:rPr>
        <w:t>eidentified data</w:t>
      </w:r>
      <w:r>
        <w:rPr>
          <w:rFonts w:eastAsia="Times New Roman" w:cs="Times New Roman"/>
          <w:szCs w:val="24"/>
        </w:rPr>
        <w:t>,</w:t>
      </w:r>
      <w:r w:rsidRPr="0007310F">
        <w:rPr>
          <w:rFonts w:eastAsia="Times New Roman" w:cs="Times New Roman"/>
          <w:szCs w:val="24"/>
        </w:rPr>
        <w:t xml:space="preserve">" </w:t>
      </w:r>
      <w:r>
        <w:rPr>
          <w:rFonts w:eastAsia="Times New Roman" w:cs="Times New Roman"/>
          <w:szCs w:val="24"/>
        </w:rPr>
        <w:t>"e</w:t>
      </w:r>
      <w:r w:rsidRPr="0007310F">
        <w:rPr>
          <w:rFonts w:eastAsia="Times New Roman" w:cs="Times New Roman"/>
          <w:szCs w:val="24"/>
        </w:rPr>
        <w:t>mployee</w:t>
      </w:r>
      <w:r>
        <w:rPr>
          <w:rFonts w:eastAsia="Times New Roman" w:cs="Times New Roman"/>
          <w:szCs w:val="24"/>
        </w:rPr>
        <w:t>,</w:t>
      </w:r>
      <w:r w:rsidRPr="0007310F">
        <w:rPr>
          <w:rFonts w:eastAsia="Times New Roman" w:cs="Times New Roman"/>
          <w:szCs w:val="24"/>
        </w:rPr>
        <w:t xml:space="preserve">" </w:t>
      </w:r>
      <w:r>
        <w:rPr>
          <w:rFonts w:eastAsia="Times New Roman" w:cs="Times New Roman"/>
          <w:szCs w:val="24"/>
        </w:rPr>
        <w:t>"employee</w:t>
      </w:r>
      <w:r w:rsidRPr="0007310F">
        <w:rPr>
          <w:rFonts w:eastAsia="Times New Roman" w:cs="Times New Roman"/>
          <w:szCs w:val="24"/>
        </w:rPr>
        <w:t xml:space="preserve"> data</w:t>
      </w:r>
      <w:r>
        <w:rPr>
          <w:rFonts w:eastAsia="Times New Roman" w:cs="Times New Roman"/>
          <w:szCs w:val="24"/>
        </w:rPr>
        <w:t>,</w:t>
      </w:r>
      <w:r w:rsidRPr="0007310F">
        <w:rPr>
          <w:rFonts w:eastAsia="Times New Roman" w:cs="Times New Roman"/>
          <w:szCs w:val="24"/>
        </w:rPr>
        <w:t xml:space="preserve">" </w:t>
      </w:r>
      <w:r>
        <w:rPr>
          <w:rFonts w:eastAsia="Times New Roman" w:cs="Times New Roman"/>
          <w:szCs w:val="24"/>
        </w:rPr>
        <w:t>"genetic</w:t>
      </w:r>
      <w:r w:rsidRPr="0007310F">
        <w:rPr>
          <w:rFonts w:eastAsia="Times New Roman" w:cs="Times New Roman"/>
          <w:szCs w:val="24"/>
        </w:rPr>
        <w:t xml:space="preserve"> data</w:t>
      </w:r>
      <w:r>
        <w:rPr>
          <w:rFonts w:eastAsia="Times New Roman" w:cs="Times New Roman"/>
          <w:szCs w:val="24"/>
        </w:rPr>
        <w:t>,</w:t>
      </w:r>
      <w:r w:rsidRPr="0007310F">
        <w:rPr>
          <w:rFonts w:eastAsia="Times New Roman" w:cs="Times New Roman"/>
          <w:szCs w:val="24"/>
        </w:rPr>
        <w:t xml:space="preserve">" </w:t>
      </w:r>
      <w:r>
        <w:rPr>
          <w:rFonts w:eastAsia="Times New Roman" w:cs="Times New Roman"/>
          <w:szCs w:val="24"/>
        </w:rPr>
        <w:t>"i</w:t>
      </w:r>
      <w:r w:rsidRPr="0007310F">
        <w:rPr>
          <w:rFonts w:eastAsia="Times New Roman" w:cs="Times New Roman"/>
          <w:szCs w:val="24"/>
        </w:rPr>
        <w:t>ndividual</w:t>
      </w:r>
      <w:r>
        <w:rPr>
          <w:rFonts w:eastAsia="Times New Roman" w:cs="Times New Roman"/>
          <w:szCs w:val="24"/>
        </w:rPr>
        <w:t>,</w:t>
      </w:r>
      <w:r w:rsidRPr="0007310F">
        <w:rPr>
          <w:rFonts w:eastAsia="Times New Roman" w:cs="Times New Roman"/>
          <w:szCs w:val="24"/>
        </w:rPr>
        <w:t xml:space="preserve">" </w:t>
      </w:r>
      <w:r>
        <w:rPr>
          <w:rFonts w:eastAsia="Times New Roman" w:cs="Times New Roman"/>
          <w:szCs w:val="24"/>
        </w:rPr>
        <w:t>"k</w:t>
      </w:r>
      <w:r w:rsidRPr="0007310F">
        <w:rPr>
          <w:rFonts w:eastAsia="Times New Roman" w:cs="Times New Roman"/>
          <w:szCs w:val="24"/>
        </w:rPr>
        <w:t>nown child</w:t>
      </w:r>
      <w:r>
        <w:rPr>
          <w:rFonts w:eastAsia="Times New Roman" w:cs="Times New Roman"/>
          <w:szCs w:val="24"/>
        </w:rPr>
        <w:t>,</w:t>
      </w:r>
      <w:r w:rsidRPr="0007310F">
        <w:rPr>
          <w:rFonts w:eastAsia="Times New Roman" w:cs="Times New Roman"/>
          <w:szCs w:val="24"/>
        </w:rPr>
        <w:t xml:space="preserve">" </w:t>
      </w:r>
      <w:r>
        <w:rPr>
          <w:rFonts w:eastAsia="Times New Roman" w:cs="Times New Roman"/>
          <w:szCs w:val="24"/>
        </w:rPr>
        <w:t>"p</w:t>
      </w:r>
      <w:r w:rsidRPr="0007310F">
        <w:rPr>
          <w:rFonts w:eastAsia="Times New Roman" w:cs="Times New Roman"/>
          <w:szCs w:val="24"/>
        </w:rPr>
        <w:t>ersonal data</w:t>
      </w:r>
      <w:r>
        <w:rPr>
          <w:rFonts w:eastAsia="Times New Roman" w:cs="Times New Roman"/>
          <w:szCs w:val="24"/>
        </w:rPr>
        <w:t>,</w:t>
      </w:r>
      <w:r w:rsidRPr="0007310F">
        <w:rPr>
          <w:rFonts w:eastAsia="Times New Roman" w:cs="Times New Roman"/>
          <w:szCs w:val="24"/>
        </w:rPr>
        <w:t xml:space="preserve">" </w:t>
      </w:r>
      <w:r>
        <w:rPr>
          <w:rFonts w:eastAsia="Times New Roman" w:cs="Times New Roman"/>
          <w:szCs w:val="24"/>
        </w:rPr>
        <w:t>"p</w:t>
      </w:r>
      <w:r w:rsidRPr="0007310F">
        <w:rPr>
          <w:rFonts w:eastAsia="Times New Roman" w:cs="Times New Roman"/>
          <w:szCs w:val="24"/>
        </w:rPr>
        <w:t>recise geolocation data</w:t>
      </w:r>
      <w:r>
        <w:rPr>
          <w:rFonts w:eastAsia="Times New Roman" w:cs="Times New Roman"/>
          <w:szCs w:val="24"/>
        </w:rPr>
        <w:t>,</w:t>
      </w:r>
      <w:r w:rsidRPr="0007310F">
        <w:rPr>
          <w:rFonts w:eastAsia="Times New Roman" w:cs="Times New Roman"/>
          <w:szCs w:val="24"/>
        </w:rPr>
        <w:t>"</w:t>
      </w:r>
      <w:r>
        <w:rPr>
          <w:rFonts w:eastAsia="Times New Roman" w:cs="Times New Roman"/>
          <w:szCs w:val="24"/>
        </w:rPr>
        <w:t xml:space="preserve"> "p</w:t>
      </w:r>
      <w:r w:rsidRPr="0007310F">
        <w:rPr>
          <w:rFonts w:eastAsia="Times New Roman" w:cs="Times New Roman"/>
          <w:szCs w:val="24"/>
        </w:rPr>
        <w:t xml:space="preserve">rocess," </w:t>
      </w:r>
      <w:r>
        <w:rPr>
          <w:rFonts w:eastAsia="Times New Roman" w:cs="Times New Roman"/>
          <w:szCs w:val="24"/>
        </w:rPr>
        <w:t>"p</w:t>
      </w:r>
      <w:r w:rsidRPr="0007310F">
        <w:rPr>
          <w:rFonts w:eastAsia="Times New Roman" w:cs="Times New Roman"/>
          <w:szCs w:val="24"/>
        </w:rPr>
        <w:t>ublicly available information</w:t>
      </w:r>
      <w:r>
        <w:rPr>
          <w:rFonts w:eastAsia="Times New Roman" w:cs="Times New Roman"/>
          <w:szCs w:val="24"/>
        </w:rPr>
        <w:t>,</w:t>
      </w:r>
      <w:r w:rsidRPr="0007310F">
        <w:rPr>
          <w:rFonts w:eastAsia="Times New Roman" w:cs="Times New Roman"/>
          <w:szCs w:val="24"/>
        </w:rPr>
        <w:t xml:space="preserve">" </w:t>
      </w:r>
      <w:r>
        <w:rPr>
          <w:rFonts w:eastAsia="Times New Roman" w:cs="Times New Roman"/>
          <w:szCs w:val="24"/>
        </w:rPr>
        <w:t>"s</w:t>
      </w:r>
      <w:r w:rsidRPr="0007310F">
        <w:rPr>
          <w:rFonts w:eastAsia="Times New Roman" w:cs="Times New Roman"/>
          <w:szCs w:val="24"/>
        </w:rPr>
        <w:t>ensitive data</w:t>
      </w:r>
      <w:r>
        <w:rPr>
          <w:rFonts w:eastAsia="Times New Roman" w:cs="Times New Roman"/>
          <w:szCs w:val="24"/>
        </w:rPr>
        <w:t>,</w:t>
      </w:r>
      <w:r w:rsidRPr="0007310F">
        <w:rPr>
          <w:rFonts w:eastAsia="Times New Roman" w:cs="Times New Roman"/>
          <w:szCs w:val="24"/>
        </w:rPr>
        <w:t xml:space="preserve">" </w:t>
      </w:r>
      <w:r>
        <w:rPr>
          <w:rFonts w:eastAsia="Times New Roman" w:cs="Times New Roman"/>
          <w:szCs w:val="24"/>
        </w:rPr>
        <w:t>"s</w:t>
      </w:r>
      <w:r w:rsidRPr="0007310F">
        <w:rPr>
          <w:rFonts w:eastAsia="Times New Roman" w:cs="Times New Roman"/>
          <w:szCs w:val="24"/>
        </w:rPr>
        <w:t>ervice provider</w:t>
      </w:r>
      <w:r>
        <w:rPr>
          <w:rFonts w:eastAsia="Times New Roman" w:cs="Times New Roman"/>
          <w:szCs w:val="24"/>
        </w:rPr>
        <w:t>,</w:t>
      </w:r>
      <w:r w:rsidRPr="0007310F">
        <w:rPr>
          <w:rFonts w:eastAsia="Times New Roman" w:cs="Times New Roman"/>
          <w:szCs w:val="24"/>
        </w:rPr>
        <w:t>"</w:t>
      </w:r>
      <w:r>
        <w:rPr>
          <w:rFonts w:eastAsia="Times New Roman" w:cs="Times New Roman"/>
          <w:szCs w:val="24"/>
        </w:rPr>
        <w:t xml:space="preserve"> and</w:t>
      </w:r>
      <w:r w:rsidRPr="0007310F">
        <w:rPr>
          <w:rFonts w:eastAsia="Times New Roman" w:cs="Times New Roman"/>
          <w:szCs w:val="24"/>
        </w:rPr>
        <w:t xml:space="preserve"> </w:t>
      </w:r>
      <w:r>
        <w:rPr>
          <w:rFonts w:eastAsia="Times New Roman" w:cs="Times New Roman"/>
          <w:szCs w:val="24"/>
        </w:rPr>
        <w:t>"t</w:t>
      </w:r>
      <w:r w:rsidRPr="0007310F">
        <w:rPr>
          <w:rFonts w:eastAsia="Times New Roman" w:cs="Times New Roman"/>
          <w:szCs w:val="24"/>
        </w:rPr>
        <w:t>ransfer</w:t>
      </w:r>
      <w:r>
        <w:rPr>
          <w:rFonts w:eastAsia="Times New Roman" w:cs="Times New Roman"/>
          <w:szCs w:val="24"/>
        </w:rPr>
        <w:t>.</w:t>
      </w:r>
      <w:r w:rsidRPr="0007310F">
        <w:rPr>
          <w:rFonts w:eastAsia="Times New Roman" w:cs="Times New Roman"/>
          <w:szCs w:val="24"/>
        </w:rPr>
        <w:t xml:space="preserve">" </w:t>
      </w:r>
    </w:p>
    <w:p w:rsidR="0099363B" w:rsidRPr="0007310F" w:rsidRDefault="0099363B" w:rsidP="00305DB3">
      <w:pPr>
        <w:spacing w:after="0" w:line="240" w:lineRule="auto"/>
        <w:ind w:left="720"/>
        <w:jc w:val="both"/>
        <w:rPr>
          <w:rFonts w:eastAsia="Times New Roman" w:cs="Times New Roman"/>
          <w:szCs w:val="24"/>
        </w:rPr>
      </w:pPr>
    </w:p>
    <w:p w:rsidR="0099363B" w:rsidRDefault="0099363B" w:rsidP="00305DB3">
      <w:pPr>
        <w:spacing w:after="0" w:line="240" w:lineRule="auto"/>
        <w:ind w:left="720"/>
        <w:jc w:val="both"/>
        <w:rPr>
          <w:rFonts w:eastAsia="Times New Roman" w:cs="Times New Roman"/>
          <w:szCs w:val="24"/>
        </w:rPr>
      </w:pPr>
      <w:r w:rsidRPr="0007310F">
        <w:rPr>
          <w:rFonts w:eastAsia="Times New Roman" w:cs="Times New Roman"/>
          <w:szCs w:val="24"/>
        </w:rPr>
        <w:t>Sec. 509.002</w:t>
      </w:r>
      <w:r>
        <w:rPr>
          <w:rFonts w:eastAsia="Times New Roman" w:cs="Times New Roman"/>
          <w:szCs w:val="24"/>
        </w:rPr>
        <w:t xml:space="preserve">. </w:t>
      </w:r>
      <w:r w:rsidRPr="0007310F">
        <w:rPr>
          <w:rFonts w:eastAsia="Times New Roman" w:cs="Times New Roman"/>
          <w:szCs w:val="24"/>
        </w:rPr>
        <w:t>APPLICABILITY TO CERTAIN DATA</w:t>
      </w:r>
      <w:r>
        <w:rPr>
          <w:rFonts w:eastAsia="Times New Roman" w:cs="Times New Roman"/>
          <w:szCs w:val="24"/>
        </w:rPr>
        <w:t xml:space="preserve">. </w:t>
      </w:r>
      <w:r w:rsidRPr="0007310F">
        <w:rPr>
          <w:rFonts w:eastAsia="Times New Roman" w:cs="Times New Roman"/>
          <w:szCs w:val="24"/>
        </w:rPr>
        <w:t>(a</w:t>
      </w:r>
      <w:r>
        <w:rPr>
          <w:rFonts w:eastAsia="Times New Roman" w:cs="Times New Roman"/>
          <w:szCs w:val="24"/>
        </w:rPr>
        <w:t>) Provides that this chapter, e</w:t>
      </w:r>
      <w:r w:rsidRPr="0007310F">
        <w:rPr>
          <w:rFonts w:eastAsia="Times New Roman" w:cs="Times New Roman"/>
          <w:szCs w:val="24"/>
        </w:rPr>
        <w:t>xcept as provided by Subsection (b), applies to personal data from an individual that is collected, transferred, or processed by a data broker.</w:t>
      </w:r>
    </w:p>
    <w:p w:rsidR="0099363B" w:rsidRPr="0007310F" w:rsidRDefault="0099363B" w:rsidP="00305DB3">
      <w:pPr>
        <w:spacing w:after="0" w:line="240" w:lineRule="auto"/>
        <w:ind w:left="720"/>
        <w:jc w:val="both"/>
        <w:rPr>
          <w:rFonts w:eastAsia="Times New Roman" w:cs="Times New Roman"/>
          <w:szCs w:val="24"/>
        </w:rPr>
      </w:pPr>
    </w:p>
    <w:p w:rsidR="0099363B" w:rsidRDefault="0099363B" w:rsidP="00305DB3">
      <w:pPr>
        <w:spacing w:after="0" w:line="240" w:lineRule="auto"/>
        <w:ind w:left="1440"/>
        <w:jc w:val="both"/>
        <w:rPr>
          <w:rFonts w:eastAsia="Times New Roman" w:cs="Times New Roman"/>
          <w:szCs w:val="24"/>
        </w:rPr>
      </w:pPr>
      <w:r w:rsidRPr="0007310F">
        <w:rPr>
          <w:rFonts w:eastAsia="Times New Roman" w:cs="Times New Roman"/>
          <w:szCs w:val="24"/>
        </w:rPr>
        <w:t>(b</w:t>
      </w:r>
      <w:r>
        <w:rPr>
          <w:rFonts w:eastAsia="Times New Roman" w:cs="Times New Roman"/>
          <w:szCs w:val="24"/>
        </w:rPr>
        <w:t>) Provides that this</w:t>
      </w:r>
      <w:r w:rsidRPr="0007310F">
        <w:rPr>
          <w:rFonts w:eastAsia="Times New Roman" w:cs="Times New Roman"/>
          <w:szCs w:val="24"/>
        </w:rPr>
        <w:t xml:space="preserve"> chapter does not apply to the following data:</w:t>
      </w:r>
    </w:p>
    <w:p w:rsidR="0099363B" w:rsidRPr="0007310F" w:rsidRDefault="0099363B" w:rsidP="00305DB3">
      <w:pPr>
        <w:spacing w:after="0" w:line="240" w:lineRule="auto"/>
        <w:ind w:left="1440"/>
        <w:jc w:val="both"/>
        <w:rPr>
          <w:rFonts w:eastAsia="Times New Roman" w:cs="Times New Roman"/>
          <w:szCs w:val="24"/>
        </w:rPr>
      </w:pPr>
    </w:p>
    <w:p w:rsidR="0099363B" w:rsidRPr="0007310F"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(1</w:t>
      </w:r>
      <w:r>
        <w:rPr>
          <w:rFonts w:eastAsia="Times New Roman" w:cs="Times New Roman"/>
          <w:szCs w:val="24"/>
        </w:rPr>
        <w:t xml:space="preserve">) </w:t>
      </w:r>
      <w:r w:rsidRPr="0007310F">
        <w:rPr>
          <w:rFonts w:eastAsia="Times New Roman" w:cs="Times New Roman"/>
          <w:szCs w:val="24"/>
        </w:rPr>
        <w:t>deidentified data, if the data broker:</w:t>
      </w:r>
    </w:p>
    <w:p w:rsidR="0099363B" w:rsidRDefault="0099363B" w:rsidP="00305DB3">
      <w:pPr>
        <w:spacing w:after="0" w:line="240" w:lineRule="auto"/>
        <w:ind w:left="2160"/>
        <w:jc w:val="both"/>
        <w:rPr>
          <w:rFonts w:eastAsia="Times New Roman" w:cs="Times New Roman"/>
          <w:szCs w:val="24"/>
        </w:rPr>
      </w:pPr>
    </w:p>
    <w:p w:rsidR="0099363B" w:rsidRPr="0007310F" w:rsidRDefault="0099363B" w:rsidP="00305DB3">
      <w:pPr>
        <w:spacing w:after="0" w:line="240" w:lineRule="auto"/>
        <w:ind w:left="2880"/>
        <w:jc w:val="both"/>
        <w:rPr>
          <w:rFonts w:eastAsia="Times New Roman" w:cs="Times New Roman"/>
          <w:szCs w:val="24"/>
        </w:rPr>
      </w:pPr>
      <w:r w:rsidRPr="0007310F">
        <w:rPr>
          <w:rFonts w:eastAsia="Times New Roman" w:cs="Times New Roman"/>
          <w:szCs w:val="24"/>
        </w:rPr>
        <w:t>(A</w:t>
      </w:r>
      <w:r>
        <w:rPr>
          <w:rFonts w:eastAsia="Times New Roman" w:cs="Times New Roman"/>
          <w:szCs w:val="24"/>
        </w:rPr>
        <w:t xml:space="preserve">) </w:t>
      </w:r>
      <w:r w:rsidRPr="0007310F">
        <w:rPr>
          <w:rFonts w:eastAsia="Times New Roman" w:cs="Times New Roman"/>
          <w:szCs w:val="24"/>
        </w:rPr>
        <w:t>takes reasonable technical measures to ensure that the data is not able to be used to identify an individual with whom the data is associated;</w:t>
      </w:r>
    </w:p>
    <w:p w:rsidR="0099363B" w:rsidRDefault="0099363B" w:rsidP="00305DB3">
      <w:pPr>
        <w:spacing w:after="0" w:line="240" w:lineRule="auto"/>
        <w:ind w:left="2160"/>
        <w:jc w:val="both"/>
        <w:rPr>
          <w:rFonts w:eastAsia="Times New Roman" w:cs="Times New Roman"/>
          <w:szCs w:val="24"/>
        </w:rPr>
      </w:pPr>
    </w:p>
    <w:p w:rsidR="0099363B" w:rsidRPr="0007310F" w:rsidRDefault="0099363B" w:rsidP="00305DB3">
      <w:pPr>
        <w:spacing w:after="0" w:line="240" w:lineRule="auto"/>
        <w:ind w:left="2880"/>
        <w:jc w:val="both"/>
        <w:rPr>
          <w:rFonts w:eastAsia="Times New Roman" w:cs="Times New Roman"/>
          <w:szCs w:val="24"/>
        </w:rPr>
      </w:pPr>
      <w:r w:rsidRPr="0007310F">
        <w:rPr>
          <w:rFonts w:eastAsia="Times New Roman" w:cs="Times New Roman"/>
          <w:szCs w:val="24"/>
        </w:rPr>
        <w:t>(B</w:t>
      </w:r>
      <w:r>
        <w:rPr>
          <w:rFonts w:eastAsia="Times New Roman" w:cs="Times New Roman"/>
          <w:szCs w:val="24"/>
        </w:rPr>
        <w:t xml:space="preserve">) </w:t>
      </w:r>
      <w:r w:rsidRPr="0007310F">
        <w:rPr>
          <w:rFonts w:eastAsia="Times New Roman" w:cs="Times New Roman"/>
          <w:szCs w:val="24"/>
        </w:rPr>
        <w:t>publicly commits in a clear and conspicuous manner:</w:t>
      </w:r>
    </w:p>
    <w:p w:rsidR="0099363B" w:rsidRDefault="0099363B" w:rsidP="00305DB3">
      <w:pPr>
        <w:spacing w:after="0" w:line="240" w:lineRule="auto"/>
        <w:ind w:left="2160"/>
        <w:jc w:val="both"/>
        <w:rPr>
          <w:rFonts w:eastAsia="Times New Roman" w:cs="Times New Roman"/>
          <w:szCs w:val="24"/>
        </w:rPr>
      </w:pPr>
    </w:p>
    <w:p w:rsidR="0099363B" w:rsidRPr="0007310F" w:rsidRDefault="0099363B" w:rsidP="00305DB3">
      <w:pPr>
        <w:spacing w:after="0" w:line="240" w:lineRule="auto"/>
        <w:ind w:left="3600"/>
        <w:jc w:val="both"/>
        <w:rPr>
          <w:rFonts w:eastAsia="Times New Roman" w:cs="Times New Roman"/>
          <w:szCs w:val="24"/>
        </w:rPr>
      </w:pPr>
      <w:r w:rsidRPr="0007310F">
        <w:rPr>
          <w:rFonts w:eastAsia="Times New Roman" w:cs="Times New Roman"/>
          <w:szCs w:val="24"/>
        </w:rPr>
        <w:t>(i</w:t>
      </w:r>
      <w:r>
        <w:rPr>
          <w:rFonts w:eastAsia="Times New Roman" w:cs="Times New Roman"/>
          <w:szCs w:val="24"/>
        </w:rPr>
        <w:t xml:space="preserve">) </w:t>
      </w:r>
      <w:r w:rsidRPr="0007310F">
        <w:rPr>
          <w:rFonts w:eastAsia="Times New Roman" w:cs="Times New Roman"/>
          <w:szCs w:val="24"/>
        </w:rPr>
        <w:t>to process and transfer the data solely in a deidentified form without any reasonable means for reidentification; and</w:t>
      </w:r>
    </w:p>
    <w:p w:rsidR="0099363B" w:rsidRDefault="0099363B" w:rsidP="00305DB3">
      <w:pPr>
        <w:spacing w:after="0" w:line="240" w:lineRule="auto"/>
        <w:ind w:left="2160"/>
        <w:jc w:val="both"/>
        <w:rPr>
          <w:rFonts w:eastAsia="Times New Roman" w:cs="Times New Roman"/>
          <w:szCs w:val="24"/>
        </w:rPr>
      </w:pPr>
    </w:p>
    <w:p w:rsidR="0099363B" w:rsidRPr="0007310F" w:rsidRDefault="0099363B" w:rsidP="00305DB3">
      <w:pPr>
        <w:spacing w:after="0" w:line="240" w:lineRule="auto"/>
        <w:ind w:left="3600"/>
        <w:jc w:val="both"/>
        <w:rPr>
          <w:rFonts w:eastAsia="Times New Roman" w:cs="Times New Roman"/>
          <w:szCs w:val="24"/>
        </w:rPr>
      </w:pPr>
      <w:r w:rsidRPr="0007310F">
        <w:rPr>
          <w:rFonts w:eastAsia="Times New Roman" w:cs="Times New Roman"/>
          <w:szCs w:val="24"/>
        </w:rPr>
        <w:t>(ii</w:t>
      </w:r>
      <w:r>
        <w:rPr>
          <w:rFonts w:eastAsia="Times New Roman" w:cs="Times New Roman"/>
          <w:szCs w:val="24"/>
        </w:rPr>
        <w:t xml:space="preserve">) </w:t>
      </w:r>
      <w:r w:rsidRPr="0007310F">
        <w:rPr>
          <w:rFonts w:eastAsia="Times New Roman" w:cs="Times New Roman"/>
          <w:szCs w:val="24"/>
        </w:rPr>
        <w:t>to not attempt to identify the information to an individual with whom the data is associated; and</w:t>
      </w:r>
    </w:p>
    <w:p w:rsidR="0099363B" w:rsidRDefault="0099363B" w:rsidP="00305DB3">
      <w:pPr>
        <w:spacing w:after="0" w:line="240" w:lineRule="auto"/>
        <w:ind w:left="2160"/>
        <w:jc w:val="both"/>
        <w:rPr>
          <w:rFonts w:eastAsia="Times New Roman" w:cs="Times New Roman"/>
          <w:szCs w:val="24"/>
        </w:rPr>
      </w:pPr>
    </w:p>
    <w:p w:rsidR="0099363B" w:rsidRPr="0007310F" w:rsidRDefault="0099363B" w:rsidP="00305DB3">
      <w:pPr>
        <w:spacing w:after="0" w:line="240" w:lineRule="auto"/>
        <w:ind w:left="2880"/>
        <w:jc w:val="both"/>
        <w:rPr>
          <w:rFonts w:eastAsia="Times New Roman" w:cs="Times New Roman"/>
          <w:szCs w:val="24"/>
        </w:rPr>
      </w:pPr>
      <w:r w:rsidRPr="0007310F">
        <w:rPr>
          <w:rFonts w:eastAsia="Times New Roman" w:cs="Times New Roman"/>
          <w:szCs w:val="24"/>
        </w:rPr>
        <w:t>(C</w:t>
      </w:r>
      <w:r>
        <w:rPr>
          <w:rFonts w:eastAsia="Times New Roman" w:cs="Times New Roman"/>
          <w:szCs w:val="24"/>
        </w:rPr>
        <w:t xml:space="preserve">) </w:t>
      </w:r>
      <w:r w:rsidRPr="0007310F">
        <w:rPr>
          <w:rFonts w:eastAsia="Times New Roman" w:cs="Times New Roman"/>
          <w:szCs w:val="24"/>
        </w:rPr>
        <w:t>contractually obligates a person that receives the information from the provider:</w:t>
      </w:r>
    </w:p>
    <w:p w:rsidR="0099363B" w:rsidRDefault="0099363B" w:rsidP="00305DB3">
      <w:pPr>
        <w:spacing w:after="0" w:line="240" w:lineRule="auto"/>
        <w:ind w:left="2160"/>
        <w:jc w:val="both"/>
        <w:rPr>
          <w:rFonts w:eastAsia="Times New Roman" w:cs="Times New Roman"/>
          <w:szCs w:val="24"/>
        </w:rPr>
      </w:pPr>
    </w:p>
    <w:p w:rsidR="0099363B" w:rsidRPr="0007310F" w:rsidRDefault="0099363B" w:rsidP="00305DB3">
      <w:pPr>
        <w:spacing w:after="0" w:line="240" w:lineRule="auto"/>
        <w:ind w:left="3600"/>
        <w:jc w:val="both"/>
        <w:rPr>
          <w:rFonts w:eastAsia="Times New Roman" w:cs="Times New Roman"/>
          <w:szCs w:val="24"/>
        </w:rPr>
      </w:pPr>
      <w:r w:rsidRPr="0007310F">
        <w:rPr>
          <w:rFonts w:eastAsia="Times New Roman" w:cs="Times New Roman"/>
          <w:szCs w:val="24"/>
        </w:rPr>
        <w:t>(i</w:t>
      </w:r>
      <w:r>
        <w:rPr>
          <w:rFonts w:eastAsia="Times New Roman" w:cs="Times New Roman"/>
          <w:szCs w:val="24"/>
        </w:rPr>
        <w:t xml:space="preserve">) </w:t>
      </w:r>
      <w:r w:rsidRPr="0007310F">
        <w:rPr>
          <w:rFonts w:eastAsia="Times New Roman" w:cs="Times New Roman"/>
          <w:szCs w:val="24"/>
        </w:rPr>
        <w:t>to comply with this subsection with respect to the information; and</w:t>
      </w:r>
    </w:p>
    <w:p w:rsidR="0099363B" w:rsidRDefault="0099363B" w:rsidP="00305DB3">
      <w:pPr>
        <w:spacing w:after="0" w:line="240" w:lineRule="auto"/>
        <w:ind w:left="2160"/>
        <w:jc w:val="both"/>
        <w:rPr>
          <w:rFonts w:eastAsia="Times New Roman" w:cs="Times New Roman"/>
          <w:szCs w:val="24"/>
        </w:rPr>
      </w:pPr>
    </w:p>
    <w:p w:rsidR="0099363B" w:rsidRPr="0007310F" w:rsidRDefault="0099363B" w:rsidP="00305DB3">
      <w:pPr>
        <w:spacing w:after="0" w:line="240" w:lineRule="auto"/>
        <w:ind w:left="3600"/>
        <w:jc w:val="both"/>
        <w:rPr>
          <w:rFonts w:eastAsia="Times New Roman" w:cs="Times New Roman"/>
          <w:szCs w:val="24"/>
        </w:rPr>
      </w:pPr>
      <w:r w:rsidRPr="0007310F">
        <w:rPr>
          <w:rFonts w:eastAsia="Times New Roman" w:cs="Times New Roman"/>
          <w:szCs w:val="24"/>
        </w:rPr>
        <w:t>(ii</w:t>
      </w:r>
      <w:r>
        <w:rPr>
          <w:rFonts w:eastAsia="Times New Roman" w:cs="Times New Roman"/>
          <w:szCs w:val="24"/>
        </w:rPr>
        <w:t xml:space="preserve">) </w:t>
      </w:r>
      <w:r w:rsidRPr="0007310F">
        <w:rPr>
          <w:rFonts w:eastAsia="Times New Roman" w:cs="Times New Roman"/>
          <w:szCs w:val="24"/>
        </w:rPr>
        <w:t>to require that those contractual obligations be included in any subsequent transfer of the data to another person;</w:t>
      </w:r>
    </w:p>
    <w:p w:rsidR="0099363B" w:rsidRDefault="0099363B" w:rsidP="00305DB3">
      <w:pPr>
        <w:spacing w:after="0" w:line="240" w:lineRule="auto"/>
        <w:ind w:left="2160"/>
        <w:jc w:val="both"/>
        <w:rPr>
          <w:rFonts w:eastAsia="Times New Roman" w:cs="Times New Roman"/>
          <w:szCs w:val="24"/>
        </w:rPr>
      </w:pPr>
    </w:p>
    <w:p w:rsidR="0099363B" w:rsidRPr="0007310F"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(2</w:t>
      </w:r>
      <w:r>
        <w:rPr>
          <w:rFonts w:eastAsia="Times New Roman" w:cs="Times New Roman"/>
          <w:szCs w:val="24"/>
        </w:rPr>
        <w:t xml:space="preserve">) </w:t>
      </w:r>
      <w:r w:rsidRPr="0007310F">
        <w:rPr>
          <w:rFonts w:eastAsia="Times New Roman" w:cs="Times New Roman"/>
          <w:szCs w:val="24"/>
        </w:rPr>
        <w:t>employee data;</w:t>
      </w:r>
    </w:p>
    <w:p w:rsidR="0099363B" w:rsidRDefault="0099363B" w:rsidP="00305DB3">
      <w:pPr>
        <w:spacing w:after="0" w:line="240" w:lineRule="auto"/>
        <w:ind w:left="2160"/>
        <w:jc w:val="both"/>
        <w:rPr>
          <w:rFonts w:eastAsia="Times New Roman" w:cs="Times New Roman"/>
          <w:szCs w:val="24"/>
        </w:rPr>
      </w:pPr>
    </w:p>
    <w:p w:rsidR="0099363B" w:rsidRPr="0007310F"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(3</w:t>
      </w:r>
      <w:r>
        <w:rPr>
          <w:rFonts w:eastAsia="Times New Roman" w:cs="Times New Roman"/>
          <w:szCs w:val="24"/>
        </w:rPr>
        <w:t xml:space="preserve">) </w:t>
      </w:r>
      <w:r w:rsidRPr="0007310F">
        <w:rPr>
          <w:rFonts w:eastAsia="Times New Roman" w:cs="Times New Roman"/>
          <w:szCs w:val="24"/>
        </w:rPr>
        <w:t>publicly available information;</w:t>
      </w:r>
    </w:p>
    <w:p w:rsidR="0099363B" w:rsidRDefault="0099363B" w:rsidP="00305DB3">
      <w:pPr>
        <w:spacing w:after="0" w:line="240" w:lineRule="auto"/>
        <w:ind w:left="2160"/>
        <w:jc w:val="both"/>
        <w:rPr>
          <w:rFonts w:eastAsia="Times New Roman" w:cs="Times New Roman"/>
          <w:szCs w:val="24"/>
        </w:rPr>
      </w:pPr>
    </w:p>
    <w:p w:rsidR="0099363B" w:rsidRPr="0007310F"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(4</w:t>
      </w:r>
      <w:r>
        <w:rPr>
          <w:rFonts w:eastAsia="Times New Roman" w:cs="Times New Roman"/>
          <w:szCs w:val="24"/>
        </w:rPr>
        <w:t xml:space="preserve">) </w:t>
      </w:r>
      <w:r w:rsidRPr="0007310F">
        <w:rPr>
          <w:rFonts w:eastAsia="Times New Roman" w:cs="Times New Roman"/>
          <w:szCs w:val="24"/>
        </w:rPr>
        <w:t>inferences made exclusively from multiple independent sources of publicly available information that do not reveal sensitive data with respect to an individual; or</w:t>
      </w:r>
    </w:p>
    <w:p w:rsidR="0099363B"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(5</w:t>
      </w:r>
      <w:r>
        <w:rPr>
          <w:rFonts w:eastAsia="Times New Roman" w:cs="Times New Roman"/>
          <w:szCs w:val="24"/>
        </w:rPr>
        <w:t xml:space="preserve">) </w:t>
      </w:r>
      <w:r w:rsidRPr="0007310F">
        <w:rPr>
          <w:rFonts w:eastAsia="Times New Roman" w:cs="Times New Roman"/>
          <w:szCs w:val="24"/>
        </w:rPr>
        <w:t>data subject to Title V, Gramm-Leach-Bliley Act (15 U.S.C. Section 6801 et seq.).</w:t>
      </w:r>
    </w:p>
    <w:p w:rsidR="0099363B" w:rsidRPr="0007310F" w:rsidRDefault="0099363B" w:rsidP="00305DB3">
      <w:pPr>
        <w:spacing w:after="0" w:line="240" w:lineRule="auto"/>
        <w:jc w:val="both"/>
        <w:rPr>
          <w:rFonts w:eastAsia="Times New Roman" w:cs="Times New Roman"/>
          <w:szCs w:val="24"/>
        </w:rPr>
      </w:pPr>
    </w:p>
    <w:p w:rsidR="0099363B" w:rsidRDefault="0099363B" w:rsidP="00305DB3">
      <w:pPr>
        <w:spacing w:after="0" w:line="240" w:lineRule="auto"/>
        <w:ind w:left="720"/>
        <w:jc w:val="both"/>
        <w:rPr>
          <w:rFonts w:eastAsia="Times New Roman" w:cs="Times New Roman"/>
          <w:szCs w:val="24"/>
        </w:rPr>
      </w:pPr>
      <w:r w:rsidRPr="0007310F">
        <w:rPr>
          <w:rFonts w:eastAsia="Times New Roman" w:cs="Times New Roman"/>
          <w:szCs w:val="24"/>
        </w:rPr>
        <w:t>Sec. 509.003</w:t>
      </w:r>
      <w:r>
        <w:rPr>
          <w:rFonts w:eastAsia="Times New Roman" w:cs="Times New Roman"/>
          <w:szCs w:val="24"/>
        </w:rPr>
        <w:t xml:space="preserve">. </w:t>
      </w:r>
      <w:r w:rsidRPr="0007310F">
        <w:rPr>
          <w:rFonts w:eastAsia="Times New Roman" w:cs="Times New Roman"/>
          <w:szCs w:val="24"/>
        </w:rPr>
        <w:t>APPLICABILITY OF CHAPTER TO CERTAIN ENTITIES</w:t>
      </w:r>
      <w:r>
        <w:rPr>
          <w:rFonts w:eastAsia="Times New Roman" w:cs="Times New Roman"/>
          <w:szCs w:val="24"/>
        </w:rPr>
        <w:t xml:space="preserve">. </w:t>
      </w:r>
      <w:r w:rsidRPr="0007310F">
        <w:rPr>
          <w:rFonts w:eastAsia="Times New Roman" w:cs="Times New Roman"/>
          <w:szCs w:val="24"/>
        </w:rPr>
        <w:t>(a</w:t>
      </w:r>
      <w:r>
        <w:rPr>
          <w:rFonts w:eastAsia="Times New Roman" w:cs="Times New Roman"/>
          <w:szCs w:val="24"/>
        </w:rPr>
        <w:t>) Provides that this chapter, e</w:t>
      </w:r>
      <w:r w:rsidRPr="0007310F">
        <w:rPr>
          <w:rFonts w:eastAsia="Times New Roman" w:cs="Times New Roman"/>
          <w:szCs w:val="24"/>
        </w:rPr>
        <w:t>xcept as provided by Subsection (b), applies only to a data broker that, in a 12-month period, derives:</w:t>
      </w:r>
    </w:p>
    <w:p w:rsidR="0099363B" w:rsidRPr="0007310F" w:rsidRDefault="0099363B" w:rsidP="00305DB3">
      <w:pPr>
        <w:spacing w:after="0" w:line="240" w:lineRule="auto"/>
        <w:ind w:left="72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(1</w:t>
      </w:r>
      <w:r>
        <w:rPr>
          <w:rFonts w:eastAsia="Times New Roman" w:cs="Times New Roman"/>
          <w:szCs w:val="24"/>
        </w:rPr>
        <w:t xml:space="preserve">) </w:t>
      </w:r>
      <w:r w:rsidRPr="0007310F">
        <w:rPr>
          <w:rFonts w:eastAsia="Times New Roman" w:cs="Times New Roman"/>
          <w:szCs w:val="24"/>
        </w:rPr>
        <w:t>more than 50 percent of the data broker's revenue from processing or transferring personal data that the data broker did not collect directly from the individuals to whom the data pertains; or</w:t>
      </w:r>
    </w:p>
    <w:p w:rsidR="0099363B" w:rsidRPr="0007310F"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(2</w:t>
      </w:r>
      <w:r>
        <w:rPr>
          <w:rFonts w:eastAsia="Times New Roman" w:cs="Times New Roman"/>
          <w:szCs w:val="24"/>
        </w:rPr>
        <w:t xml:space="preserve">) </w:t>
      </w:r>
      <w:r w:rsidRPr="0007310F">
        <w:rPr>
          <w:rFonts w:eastAsia="Times New Roman" w:cs="Times New Roman"/>
          <w:szCs w:val="24"/>
        </w:rPr>
        <w:t>revenue from processing or transferring the personal data of more than 50,000 individuals that the data broker did not collect directly from the individuals to whom the data pertains.</w:t>
      </w:r>
    </w:p>
    <w:p w:rsidR="0099363B" w:rsidRPr="0007310F" w:rsidRDefault="0099363B" w:rsidP="00305DB3">
      <w:pPr>
        <w:spacing w:after="0" w:line="240" w:lineRule="auto"/>
        <w:ind w:left="720"/>
        <w:jc w:val="both"/>
        <w:rPr>
          <w:rFonts w:eastAsia="Times New Roman" w:cs="Times New Roman"/>
          <w:szCs w:val="24"/>
        </w:rPr>
      </w:pPr>
    </w:p>
    <w:p w:rsidR="0099363B" w:rsidRDefault="0099363B" w:rsidP="00305DB3">
      <w:pPr>
        <w:spacing w:after="0" w:line="240" w:lineRule="auto"/>
        <w:ind w:left="1440"/>
        <w:jc w:val="both"/>
        <w:rPr>
          <w:rFonts w:eastAsia="Times New Roman" w:cs="Times New Roman"/>
          <w:szCs w:val="24"/>
        </w:rPr>
      </w:pPr>
      <w:r w:rsidRPr="0007310F">
        <w:rPr>
          <w:rFonts w:eastAsia="Times New Roman" w:cs="Times New Roman"/>
          <w:szCs w:val="24"/>
        </w:rPr>
        <w:t>(b</w:t>
      </w:r>
      <w:r>
        <w:rPr>
          <w:rFonts w:eastAsia="Times New Roman" w:cs="Times New Roman"/>
          <w:szCs w:val="24"/>
        </w:rPr>
        <w:t>) Provides that t</w:t>
      </w:r>
      <w:r w:rsidRPr="0007310F">
        <w:rPr>
          <w:rFonts w:eastAsia="Times New Roman" w:cs="Times New Roman"/>
          <w:szCs w:val="24"/>
        </w:rPr>
        <w:t>his chapter does not apply to:</w:t>
      </w:r>
    </w:p>
    <w:p w:rsidR="0099363B" w:rsidRPr="0007310F" w:rsidRDefault="0099363B" w:rsidP="00305DB3">
      <w:pPr>
        <w:spacing w:after="0" w:line="240" w:lineRule="auto"/>
        <w:ind w:left="720"/>
        <w:jc w:val="both"/>
        <w:rPr>
          <w:rFonts w:eastAsia="Times New Roman" w:cs="Times New Roman"/>
          <w:szCs w:val="24"/>
        </w:rPr>
      </w:pPr>
    </w:p>
    <w:p w:rsidR="0099363B" w:rsidRPr="0007310F"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(1</w:t>
      </w:r>
      <w:r>
        <w:rPr>
          <w:rFonts w:eastAsia="Times New Roman" w:cs="Times New Roman"/>
          <w:szCs w:val="24"/>
        </w:rPr>
        <w:t xml:space="preserve">) </w:t>
      </w:r>
      <w:r w:rsidRPr="0007310F">
        <w:rPr>
          <w:rFonts w:eastAsia="Times New Roman" w:cs="Times New Roman"/>
          <w:szCs w:val="24"/>
        </w:rPr>
        <w:t>a service provider, including a service provider that engages in the business of processing employee data for a third-party employer for the sole purpose of providing benefits to the third-party employer's employees;</w:t>
      </w:r>
    </w:p>
    <w:p w:rsidR="0099363B" w:rsidRDefault="0099363B" w:rsidP="00305DB3">
      <w:pPr>
        <w:spacing w:after="0" w:line="240" w:lineRule="auto"/>
        <w:ind w:left="2160"/>
        <w:jc w:val="both"/>
        <w:rPr>
          <w:rFonts w:eastAsia="Times New Roman" w:cs="Times New Roman"/>
          <w:szCs w:val="24"/>
        </w:rPr>
      </w:pPr>
    </w:p>
    <w:p w:rsidR="0099363B" w:rsidRPr="0007310F"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(2</w:t>
      </w:r>
      <w:r>
        <w:rPr>
          <w:rFonts w:eastAsia="Times New Roman" w:cs="Times New Roman"/>
          <w:szCs w:val="24"/>
        </w:rPr>
        <w:t xml:space="preserve">) </w:t>
      </w:r>
      <w:r w:rsidRPr="0007310F">
        <w:rPr>
          <w:rFonts w:eastAsia="Times New Roman" w:cs="Times New Roman"/>
          <w:szCs w:val="24"/>
        </w:rPr>
        <w:t>a person or entity that collects personal data from another person or entity to which the person or entity is related by common ownership or corporate control, provided a reasonable consumer would expect the persons or entities to share data;</w:t>
      </w:r>
    </w:p>
    <w:p w:rsidR="0099363B"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(3</w:t>
      </w:r>
      <w:r>
        <w:rPr>
          <w:rFonts w:eastAsia="Times New Roman" w:cs="Times New Roman"/>
          <w:szCs w:val="24"/>
        </w:rPr>
        <w:t xml:space="preserve">) </w:t>
      </w:r>
      <w:r w:rsidRPr="0007310F">
        <w:rPr>
          <w:rFonts w:eastAsia="Times New Roman" w:cs="Times New Roman"/>
          <w:szCs w:val="24"/>
        </w:rPr>
        <w:t>a federal, state, tribal, territorial, or local governmental entity, including a body, authority, board, bureau, commission, district, agency, or political subdivision of a governmental entity;</w:t>
      </w:r>
    </w:p>
    <w:p w:rsidR="0099363B" w:rsidRPr="0007310F"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(4</w:t>
      </w:r>
      <w:r>
        <w:rPr>
          <w:rFonts w:eastAsia="Times New Roman" w:cs="Times New Roman"/>
          <w:szCs w:val="24"/>
        </w:rPr>
        <w:t xml:space="preserve">) </w:t>
      </w:r>
      <w:r w:rsidRPr="0007310F">
        <w:rPr>
          <w:rFonts w:eastAsia="Times New Roman" w:cs="Times New Roman"/>
          <w:szCs w:val="24"/>
        </w:rPr>
        <w:t>an entity that serves as a congressionally designated nonprofit, national resource center, or clearinghouse to provide assistance to victims, families, child-serving professionals, and the general public on missing and exploited children issues;</w:t>
      </w:r>
    </w:p>
    <w:p w:rsidR="0099363B" w:rsidRPr="0007310F"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(5</w:t>
      </w:r>
      <w:r>
        <w:rPr>
          <w:rFonts w:eastAsia="Times New Roman" w:cs="Times New Roman"/>
          <w:szCs w:val="24"/>
        </w:rPr>
        <w:t xml:space="preserve">) </w:t>
      </w:r>
      <w:r w:rsidRPr="0007310F">
        <w:rPr>
          <w:rFonts w:eastAsia="Times New Roman" w:cs="Times New Roman"/>
          <w:szCs w:val="24"/>
        </w:rPr>
        <w:t>a consumer reporting agency or other person or entity that furnishes information for inclusion in a consumer credit report or obtains a consumer credit report, but only to the extent the person or entity engages in activity regulated or authorized by the Fair Credit Reporting Act (15 U.S.C. Section 1681 et seq.), including the collection, maintenance, disclosure, sale, communication, or use of any personal information bearing on a consumer's creditworthiness, credit standing, credit capacity, character, general reputation, personal characteristics, or mode of living; or</w:t>
      </w:r>
    </w:p>
    <w:p w:rsidR="0099363B" w:rsidRPr="0007310F"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(6</w:t>
      </w:r>
      <w:r>
        <w:rPr>
          <w:rFonts w:eastAsia="Times New Roman" w:cs="Times New Roman"/>
          <w:szCs w:val="24"/>
        </w:rPr>
        <w:t xml:space="preserve">) </w:t>
      </w:r>
      <w:r w:rsidRPr="0007310F">
        <w:rPr>
          <w:rFonts w:eastAsia="Times New Roman" w:cs="Times New Roman"/>
          <w:szCs w:val="24"/>
        </w:rPr>
        <w:t>a financial institution subject to Title V, Gramm-Leach-Bliley Act (15 U.S.C. Section 6801 et seq.).</w:t>
      </w:r>
    </w:p>
    <w:p w:rsidR="0099363B" w:rsidRPr="0007310F"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720"/>
        <w:jc w:val="both"/>
        <w:rPr>
          <w:rFonts w:eastAsia="Times New Roman" w:cs="Times New Roman"/>
          <w:szCs w:val="24"/>
        </w:rPr>
      </w:pPr>
      <w:r w:rsidRPr="0007310F">
        <w:rPr>
          <w:rFonts w:eastAsia="Times New Roman" w:cs="Times New Roman"/>
          <w:szCs w:val="24"/>
        </w:rPr>
        <w:t>Sec. 509.004</w:t>
      </w:r>
      <w:r>
        <w:rPr>
          <w:rFonts w:eastAsia="Times New Roman" w:cs="Times New Roman"/>
          <w:szCs w:val="24"/>
        </w:rPr>
        <w:t xml:space="preserve">. </w:t>
      </w:r>
      <w:r w:rsidRPr="0007310F">
        <w:rPr>
          <w:rFonts w:eastAsia="Times New Roman" w:cs="Times New Roman"/>
          <w:szCs w:val="24"/>
        </w:rPr>
        <w:t>NOTICE ON WEBSITE OR MOBILE APPLICATION</w:t>
      </w:r>
      <w:r>
        <w:rPr>
          <w:rFonts w:eastAsia="Times New Roman" w:cs="Times New Roman"/>
          <w:szCs w:val="24"/>
        </w:rPr>
        <w:t>. Requires a</w:t>
      </w:r>
      <w:r w:rsidRPr="0007310F">
        <w:rPr>
          <w:rFonts w:eastAsia="Times New Roman" w:cs="Times New Roman"/>
          <w:szCs w:val="24"/>
        </w:rPr>
        <w:t xml:space="preserve"> data broker that maintains an Internet website or mobile application </w:t>
      </w:r>
      <w:r>
        <w:rPr>
          <w:rFonts w:eastAsia="Times New Roman" w:cs="Times New Roman"/>
          <w:szCs w:val="24"/>
        </w:rPr>
        <w:t>to</w:t>
      </w:r>
      <w:r w:rsidRPr="0007310F">
        <w:rPr>
          <w:rFonts w:eastAsia="Times New Roman" w:cs="Times New Roman"/>
          <w:szCs w:val="24"/>
        </w:rPr>
        <w:t xml:space="preserve"> post a conspicuous notice on the website or application that:</w:t>
      </w:r>
    </w:p>
    <w:p w:rsidR="0099363B" w:rsidRPr="0007310F" w:rsidRDefault="0099363B" w:rsidP="00305DB3">
      <w:pPr>
        <w:spacing w:after="0" w:line="240" w:lineRule="auto"/>
        <w:ind w:left="720"/>
        <w:jc w:val="both"/>
        <w:rPr>
          <w:rFonts w:eastAsia="Times New Roman" w:cs="Times New Roman"/>
          <w:szCs w:val="24"/>
        </w:rPr>
      </w:pPr>
    </w:p>
    <w:p w:rsidR="0099363B" w:rsidRDefault="0099363B" w:rsidP="00305DB3">
      <w:pPr>
        <w:spacing w:after="0" w:line="240" w:lineRule="auto"/>
        <w:ind w:left="1440"/>
        <w:jc w:val="both"/>
        <w:rPr>
          <w:rFonts w:eastAsia="Times New Roman" w:cs="Times New Roman"/>
          <w:szCs w:val="24"/>
        </w:rPr>
      </w:pPr>
      <w:r w:rsidRPr="0007310F">
        <w:rPr>
          <w:rFonts w:eastAsia="Times New Roman" w:cs="Times New Roman"/>
          <w:szCs w:val="24"/>
        </w:rPr>
        <w:t>(1</w:t>
      </w:r>
      <w:r>
        <w:rPr>
          <w:rFonts w:eastAsia="Times New Roman" w:cs="Times New Roman"/>
          <w:szCs w:val="24"/>
        </w:rPr>
        <w:t xml:space="preserve">) </w:t>
      </w:r>
      <w:r w:rsidRPr="0007310F">
        <w:rPr>
          <w:rFonts w:eastAsia="Times New Roman" w:cs="Times New Roman"/>
          <w:szCs w:val="24"/>
        </w:rPr>
        <w:t>states that the entity maintaining the website or application is a data broker;</w:t>
      </w:r>
    </w:p>
    <w:p w:rsidR="0099363B" w:rsidRPr="0007310F" w:rsidRDefault="0099363B" w:rsidP="00305DB3">
      <w:pPr>
        <w:spacing w:after="0" w:line="240" w:lineRule="auto"/>
        <w:ind w:left="1440"/>
        <w:jc w:val="both"/>
        <w:rPr>
          <w:rFonts w:eastAsia="Times New Roman" w:cs="Times New Roman"/>
          <w:szCs w:val="24"/>
        </w:rPr>
      </w:pPr>
    </w:p>
    <w:p w:rsidR="0099363B" w:rsidRDefault="0099363B" w:rsidP="00305DB3">
      <w:pPr>
        <w:spacing w:after="0" w:line="240" w:lineRule="auto"/>
        <w:ind w:left="1440"/>
        <w:jc w:val="both"/>
        <w:rPr>
          <w:rFonts w:eastAsia="Times New Roman" w:cs="Times New Roman"/>
          <w:szCs w:val="24"/>
        </w:rPr>
      </w:pPr>
      <w:r w:rsidRPr="0007310F">
        <w:rPr>
          <w:rFonts w:eastAsia="Times New Roman" w:cs="Times New Roman"/>
          <w:szCs w:val="24"/>
        </w:rPr>
        <w:t>(2</w:t>
      </w:r>
      <w:r>
        <w:rPr>
          <w:rFonts w:eastAsia="Times New Roman" w:cs="Times New Roman"/>
          <w:szCs w:val="24"/>
        </w:rPr>
        <w:t xml:space="preserve">) </w:t>
      </w:r>
      <w:r w:rsidRPr="0007310F">
        <w:rPr>
          <w:rFonts w:eastAsia="Times New Roman" w:cs="Times New Roman"/>
          <w:szCs w:val="24"/>
        </w:rPr>
        <w:t>is clear, not misleading, and readily accessible by the general public, including individuals with a disability; and</w:t>
      </w:r>
    </w:p>
    <w:p w:rsidR="0099363B" w:rsidRPr="0007310F" w:rsidRDefault="0099363B" w:rsidP="00305DB3">
      <w:pPr>
        <w:spacing w:after="0" w:line="240" w:lineRule="auto"/>
        <w:ind w:left="1440"/>
        <w:jc w:val="both"/>
        <w:rPr>
          <w:rFonts w:eastAsia="Times New Roman" w:cs="Times New Roman"/>
          <w:szCs w:val="24"/>
        </w:rPr>
      </w:pPr>
    </w:p>
    <w:p w:rsidR="0099363B" w:rsidRDefault="0099363B" w:rsidP="00305DB3">
      <w:pPr>
        <w:spacing w:after="0" w:line="240" w:lineRule="auto"/>
        <w:ind w:left="1440"/>
        <w:jc w:val="both"/>
        <w:rPr>
          <w:rFonts w:eastAsia="Times New Roman" w:cs="Times New Roman"/>
          <w:szCs w:val="24"/>
        </w:rPr>
      </w:pPr>
      <w:r w:rsidRPr="0007310F">
        <w:rPr>
          <w:rFonts w:eastAsia="Times New Roman" w:cs="Times New Roman"/>
          <w:szCs w:val="24"/>
        </w:rPr>
        <w:t>(3</w:t>
      </w:r>
      <w:r>
        <w:rPr>
          <w:rFonts w:eastAsia="Times New Roman" w:cs="Times New Roman"/>
          <w:szCs w:val="24"/>
        </w:rPr>
        <w:t xml:space="preserve">) </w:t>
      </w:r>
      <w:r w:rsidRPr="0007310F">
        <w:rPr>
          <w:rFonts w:eastAsia="Times New Roman" w:cs="Times New Roman"/>
          <w:szCs w:val="24"/>
        </w:rPr>
        <w:t xml:space="preserve">contains language provided by rule of the </w:t>
      </w:r>
      <w:r>
        <w:rPr>
          <w:rFonts w:eastAsia="Times New Roman" w:cs="Times New Roman"/>
          <w:szCs w:val="24"/>
        </w:rPr>
        <w:t xml:space="preserve">secretary of state (SOS) </w:t>
      </w:r>
      <w:r w:rsidRPr="0007310F">
        <w:rPr>
          <w:rFonts w:eastAsia="Times New Roman" w:cs="Times New Roman"/>
          <w:szCs w:val="24"/>
        </w:rPr>
        <w:t>for inclusion in the notice.</w:t>
      </w:r>
    </w:p>
    <w:p w:rsidR="0099363B" w:rsidRPr="0007310F" w:rsidRDefault="0099363B" w:rsidP="00305DB3">
      <w:pPr>
        <w:spacing w:after="0" w:line="240" w:lineRule="auto"/>
        <w:ind w:left="720"/>
        <w:jc w:val="both"/>
        <w:rPr>
          <w:rFonts w:eastAsia="Times New Roman" w:cs="Times New Roman"/>
          <w:szCs w:val="24"/>
        </w:rPr>
      </w:pPr>
    </w:p>
    <w:p w:rsidR="0099363B" w:rsidRDefault="0099363B" w:rsidP="00305DB3">
      <w:pPr>
        <w:spacing w:after="0" w:line="240" w:lineRule="auto"/>
        <w:ind w:left="720"/>
        <w:jc w:val="both"/>
        <w:rPr>
          <w:rFonts w:eastAsia="Times New Roman" w:cs="Times New Roman"/>
          <w:szCs w:val="24"/>
        </w:rPr>
      </w:pPr>
      <w:r w:rsidRPr="0007310F">
        <w:rPr>
          <w:rFonts w:eastAsia="Times New Roman" w:cs="Times New Roman"/>
          <w:szCs w:val="24"/>
        </w:rPr>
        <w:t>Sec. 509.005</w:t>
      </w:r>
      <w:r>
        <w:rPr>
          <w:rFonts w:eastAsia="Times New Roman" w:cs="Times New Roman"/>
          <w:szCs w:val="24"/>
        </w:rPr>
        <w:t xml:space="preserve">. </w:t>
      </w:r>
      <w:r w:rsidRPr="0007310F">
        <w:rPr>
          <w:rFonts w:eastAsia="Times New Roman" w:cs="Times New Roman"/>
          <w:szCs w:val="24"/>
        </w:rPr>
        <w:t>REGISTRATION</w:t>
      </w:r>
      <w:r>
        <w:rPr>
          <w:rFonts w:eastAsia="Times New Roman" w:cs="Times New Roman"/>
          <w:szCs w:val="24"/>
        </w:rPr>
        <w:t xml:space="preserve">. </w:t>
      </w:r>
      <w:r w:rsidRPr="0007310F">
        <w:rPr>
          <w:rFonts w:eastAsia="Times New Roman" w:cs="Times New Roman"/>
          <w:szCs w:val="24"/>
        </w:rPr>
        <w:t>(a</w:t>
      </w:r>
      <w:r>
        <w:rPr>
          <w:rFonts w:eastAsia="Times New Roman" w:cs="Times New Roman"/>
          <w:szCs w:val="24"/>
        </w:rPr>
        <w:t xml:space="preserve">) Requires </w:t>
      </w:r>
      <w:r w:rsidRPr="0007310F">
        <w:rPr>
          <w:rFonts w:eastAsia="Times New Roman" w:cs="Times New Roman"/>
          <w:szCs w:val="24"/>
        </w:rPr>
        <w:t>a data broker to which this chapter applies</w:t>
      </w:r>
      <w:r>
        <w:rPr>
          <w:rFonts w:eastAsia="Times New Roman" w:cs="Times New Roman"/>
          <w:szCs w:val="24"/>
        </w:rPr>
        <w:t>, t</w:t>
      </w:r>
      <w:r w:rsidRPr="0007310F">
        <w:rPr>
          <w:rFonts w:eastAsia="Times New Roman" w:cs="Times New Roman"/>
          <w:szCs w:val="24"/>
        </w:rPr>
        <w:t xml:space="preserve">o conduct business in this state, </w:t>
      </w:r>
      <w:r>
        <w:rPr>
          <w:rFonts w:eastAsia="Times New Roman" w:cs="Times New Roman"/>
          <w:szCs w:val="24"/>
        </w:rPr>
        <w:t>to</w:t>
      </w:r>
      <w:r w:rsidRPr="0007310F">
        <w:rPr>
          <w:rFonts w:eastAsia="Times New Roman" w:cs="Times New Roman"/>
          <w:szCs w:val="24"/>
        </w:rPr>
        <w:t xml:space="preserve"> register with </w:t>
      </w:r>
      <w:r>
        <w:rPr>
          <w:rFonts w:eastAsia="Times New Roman" w:cs="Times New Roman"/>
          <w:szCs w:val="24"/>
        </w:rPr>
        <w:t>SOS</w:t>
      </w:r>
      <w:r w:rsidRPr="0007310F">
        <w:rPr>
          <w:rFonts w:eastAsia="Times New Roman" w:cs="Times New Roman"/>
          <w:szCs w:val="24"/>
        </w:rPr>
        <w:t xml:space="preserve"> by filing a registration statement and paying a registration fee of $300.</w:t>
      </w:r>
    </w:p>
    <w:p w:rsidR="0099363B" w:rsidRPr="0007310F" w:rsidRDefault="0099363B" w:rsidP="00305DB3">
      <w:pPr>
        <w:spacing w:after="0" w:line="240" w:lineRule="auto"/>
        <w:ind w:left="720"/>
        <w:jc w:val="both"/>
        <w:rPr>
          <w:rFonts w:eastAsia="Times New Roman" w:cs="Times New Roman"/>
          <w:szCs w:val="24"/>
        </w:rPr>
      </w:pPr>
    </w:p>
    <w:p w:rsidR="0099363B" w:rsidRDefault="0099363B" w:rsidP="00305DB3">
      <w:pPr>
        <w:spacing w:after="0" w:line="240" w:lineRule="auto"/>
        <w:ind w:left="1440"/>
        <w:jc w:val="both"/>
        <w:rPr>
          <w:rFonts w:eastAsia="Times New Roman" w:cs="Times New Roman"/>
          <w:szCs w:val="24"/>
        </w:rPr>
      </w:pPr>
      <w:r w:rsidRPr="0007310F">
        <w:rPr>
          <w:rFonts w:eastAsia="Times New Roman" w:cs="Times New Roman"/>
          <w:szCs w:val="24"/>
        </w:rPr>
        <w:t>(b</w:t>
      </w:r>
      <w:r>
        <w:rPr>
          <w:rFonts w:eastAsia="Times New Roman" w:cs="Times New Roman"/>
          <w:szCs w:val="24"/>
        </w:rPr>
        <w:t>) Requires that the</w:t>
      </w:r>
      <w:r w:rsidRPr="0007310F">
        <w:rPr>
          <w:rFonts w:eastAsia="Times New Roman" w:cs="Times New Roman"/>
          <w:szCs w:val="24"/>
        </w:rPr>
        <w:t xml:space="preserve"> registration statement include:</w:t>
      </w:r>
    </w:p>
    <w:p w:rsidR="0099363B" w:rsidRPr="0007310F" w:rsidRDefault="0099363B" w:rsidP="00305DB3">
      <w:pPr>
        <w:spacing w:after="0" w:line="240" w:lineRule="auto"/>
        <w:ind w:left="288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(1</w:t>
      </w:r>
      <w:r>
        <w:rPr>
          <w:rFonts w:eastAsia="Times New Roman" w:cs="Times New Roman"/>
          <w:szCs w:val="24"/>
        </w:rPr>
        <w:t xml:space="preserve">) </w:t>
      </w:r>
      <w:r w:rsidRPr="0007310F">
        <w:rPr>
          <w:rFonts w:eastAsia="Times New Roman" w:cs="Times New Roman"/>
          <w:szCs w:val="24"/>
        </w:rPr>
        <w:t>the legal name of the data broker;</w:t>
      </w:r>
    </w:p>
    <w:p w:rsidR="0099363B" w:rsidRPr="0007310F"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(2</w:t>
      </w:r>
      <w:r>
        <w:rPr>
          <w:rFonts w:eastAsia="Times New Roman" w:cs="Times New Roman"/>
          <w:szCs w:val="24"/>
        </w:rPr>
        <w:t xml:space="preserve">) </w:t>
      </w:r>
      <w:r w:rsidRPr="0007310F">
        <w:rPr>
          <w:rFonts w:eastAsia="Times New Roman" w:cs="Times New Roman"/>
          <w:szCs w:val="24"/>
        </w:rPr>
        <w:t>a contact person and the primary physical address, e-mail address, telephone number, and Internet website address for the data broker;</w:t>
      </w:r>
    </w:p>
    <w:p w:rsidR="0099363B" w:rsidRPr="0007310F"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(3</w:t>
      </w:r>
      <w:r>
        <w:rPr>
          <w:rFonts w:eastAsia="Times New Roman" w:cs="Times New Roman"/>
          <w:szCs w:val="24"/>
        </w:rPr>
        <w:t xml:space="preserve">) </w:t>
      </w:r>
      <w:r w:rsidRPr="0007310F">
        <w:rPr>
          <w:rFonts w:eastAsia="Times New Roman" w:cs="Times New Roman"/>
          <w:szCs w:val="24"/>
        </w:rPr>
        <w:t>a description of the categories of data the data broker processes and transfers;</w:t>
      </w:r>
    </w:p>
    <w:p w:rsidR="0099363B" w:rsidRPr="0007310F"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(4</w:t>
      </w:r>
      <w:r>
        <w:rPr>
          <w:rFonts w:eastAsia="Times New Roman" w:cs="Times New Roman"/>
          <w:szCs w:val="24"/>
        </w:rPr>
        <w:t xml:space="preserve">) </w:t>
      </w:r>
      <w:r w:rsidRPr="0007310F">
        <w:rPr>
          <w:rFonts w:eastAsia="Times New Roman" w:cs="Times New Roman"/>
          <w:szCs w:val="24"/>
        </w:rPr>
        <w:t>a statement of whether or not the data broker implements a purchaser credentialing process;</w:t>
      </w:r>
    </w:p>
    <w:p w:rsidR="0099363B" w:rsidRPr="0007310F"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(5</w:t>
      </w:r>
      <w:r>
        <w:rPr>
          <w:rFonts w:eastAsia="Times New Roman" w:cs="Times New Roman"/>
          <w:szCs w:val="24"/>
        </w:rPr>
        <w:t xml:space="preserve">) </w:t>
      </w:r>
      <w:r w:rsidRPr="0007310F">
        <w:rPr>
          <w:rFonts w:eastAsia="Times New Roman" w:cs="Times New Roman"/>
          <w:szCs w:val="24"/>
        </w:rPr>
        <w:t>if the data broker has actual knowledge that the data broker possesses personal data of a known child:</w:t>
      </w:r>
    </w:p>
    <w:p w:rsidR="0099363B" w:rsidRPr="0007310F"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2880"/>
        <w:jc w:val="both"/>
        <w:rPr>
          <w:rFonts w:eastAsia="Times New Roman" w:cs="Times New Roman"/>
          <w:szCs w:val="24"/>
        </w:rPr>
      </w:pPr>
      <w:r w:rsidRPr="0007310F">
        <w:rPr>
          <w:rFonts w:eastAsia="Times New Roman" w:cs="Times New Roman"/>
          <w:szCs w:val="24"/>
        </w:rPr>
        <w:t>(A</w:t>
      </w:r>
      <w:r>
        <w:rPr>
          <w:rFonts w:eastAsia="Times New Roman" w:cs="Times New Roman"/>
          <w:szCs w:val="24"/>
        </w:rPr>
        <w:t xml:space="preserve">) </w:t>
      </w:r>
      <w:r w:rsidRPr="0007310F">
        <w:rPr>
          <w:rFonts w:eastAsia="Times New Roman" w:cs="Times New Roman"/>
          <w:szCs w:val="24"/>
        </w:rPr>
        <w:t>a statement detailing the data collection practices, databases, sales activities, and opt-out policies that are applicable to the personal data of a known child; and</w:t>
      </w:r>
    </w:p>
    <w:p w:rsidR="0099363B" w:rsidRPr="0007310F" w:rsidRDefault="0099363B" w:rsidP="00305DB3">
      <w:pPr>
        <w:spacing w:after="0" w:line="240" w:lineRule="auto"/>
        <w:ind w:left="2880"/>
        <w:jc w:val="both"/>
        <w:rPr>
          <w:rFonts w:eastAsia="Times New Roman" w:cs="Times New Roman"/>
          <w:szCs w:val="24"/>
        </w:rPr>
      </w:pPr>
    </w:p>
    <w:p w:rsidR="0099363B" w:rsidRDefault="0099363B" w:rsidP="00305DB3">
      <w:pPr>
        <w:spacing w:after="0" w:line="240" w:lineRule="auto"/>
        <w:ind w:left="2880"/>
        <w:jc w:val="both"/>
        <w:rPr>
          <w:rFonts w:eastAsia="Times New Roman" w:cs="Times New Roman"/>
          <w:szCs w:val="24"/>
        </w:rPr>
      </w:pPr>
      <w:r w:rsidRPr="0007310F">
        <w:rPr>
          <w:rFonts w:eastAsia="Times New Roman" w:cs="Times New Roman"/>
          <w:szCs w:val="24"/>
        </w:rPr>
        <w:t>(B</w:t>
      </w:r>
      <w:r>
        <w:rPr>
          <w:rFonts w:eastAsia="Times New Roman" w:cs="Times New Roman"/>
          <w:szCs w:val="24"/>
        </w:rPr>
        <w:t xml:space="preserve">) </w:t>
      </w:r>
      <w:r w:rsidRPr="0007310F">
        <w:rPr>
          <w:rFonts w:eastAsia="Times New Roman" w:cs="Times New Roman"/>
          <w:szCs w:val="24"/>
        </w:rPr>
        <w:t>a statement on how the data broker complies with applicable federal and state law regarding the collection, use, or disclosure of personal data from and about a child on the Internet; and</w:t>
      </w:r>
    </w:p>
    <w:p w:rsidR="0099363B" w:rsidRPr="0007310F" w:rsidRDefault="0099363B" w:rsidP="00305DB3">
      <w:pPr>
        <w:spacing w:after="0" w:line="240" w:lineRule="auto"/>
        <w:ind w:left="288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(6</w:t>
      </w:r>
      <w:r>
        <w:rPr>
          <w:rFonts w:eastAsia="Times New Roman" w:cs="Times New Roman"/>
          <w:szCs w:val="24"/>
        </w:rPr>
        <w:t xml:space="preserve">) </w:t>
      </w:r>
      <w:r w:rsidRPr="0007310F">
        <w:rPr>
          <w:rFonts w:eastAsia="Times New Roman" w:cs="Times New Roman"/>
          <w:szCs w:val="24"/>
        </w:rPr>
        <w:t>the number of security breaches the data broker has experienced during the year immediately preceding the year in which the registration is filed, and if known, the total number of consumers affected by each breach.</w:t>
      </w:r>
    </w:p>
    <w:p w:rsidR="0099363B" w:rsidRPr="0007310F"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1440"/>
        <w:jc w:val="both"/>
        <w:rPr>
          <w:rFonts w:eastAsia="Times New Roman" w:cs="Times New Roman"/>
          <w:szCs w:val="24"/>
        </w:rPr>
      </w:pPr>
      <w:r w:rsidRPr="0007310F">
        <w:rPr>
          <w:rFonts w:eastAsia="Times New Roman" w:cs="Times New Roman"/>
          <w:szCs w:val="24"/>
        </w:rPr>
        <w:t>(c</w:t>
      </w:r>
      <w:r>
        <w:rPr>
          <w:rFonts w:eastAsia="Times New Roman" w:cs="Times New Roman"/>
          <w:szCs w:val="24"/>
        </w:rPr>
        <w:t>) Authorizes a</w:t>
      </w:r>
      <w:r w:rsidRPr="0007310F">
        <w:rPr>
          <w:rFonts w:eastAsia="Times New Roman" w:cs="Times New Roman"/>
          <w:szCs w:val="24"/>
        </w:rPr>
        <w:t xml:space="preserve"> registration of a data broker </w:t>
      </w:r>
      <w:r>
        <w:rPr>
          <w:rFonts w:eastAsia="Times New Roman" w:cs="Times New Roman"/>
          <w:szCs w:val="24"/>
        </w:rPr>
        <w:t>to</w:t>
      </w:r>
      <w:r w:rsidRPr="0007310F">
        <w:rPr>
          <w:rFonts w:eastAsia="Times New Roman" w:cs="Times New Roman"/>
          <w:szCs w:val="24"/>
        </w:rPr>
        <w:t xml:space="preserve"> include any additional information or explanation the data broker chooses to provide to </w:t>
      </w:r>
      <w:r>
        <w:rPr>
          <w:rFonts w:eastAsia="Times New Roman" w:cs="Times New Roman"/>
          <w:szCs w:val="24"/>
        </w:rPr>
        <w:t>SOS</w:t>
      </w:r>
      <w:r w:rsidRPr="0007310F">
        <w:rPr>
          <w:rFonts w:eastAsia="Times New Roman" w:cs="Times New Roman"/>
          <w:szCs w:val="24"/>
        </w:rPr>
        <w:t xml:space="preserve"> concerning the data broker's data collection practices.</w:t>
      </w:r>
    </w:p>
    <w:p w:rsidR="0099363B" w:rsidRPr="0007310F" w:rsidRDefault="0099363B" w:rsidP="00305DB3">
      <w:pPr>
        <w:spacing w:after="0" w:line="240" w:lineRule="auto"/>
        <w:ind w:left="1440"/>
        <w:jc w:val="both"/>
        <w:rPr>
          <w:rFonts w:eastAsia="Times New Roman" w:cs="Times New Roman"/>
          <w:szCs w:val="24"/>
        </w:rPr>
      </w:pPr>
    </w:p>
    <w:p w:rsidR="0099363B" w:rsidRDefault="0099363B" w:rsidP="00305DB3">
      <w:pPr>
        <w:spacing w:after="0" w:line="240" w:lineRule="auto"/>
        <w:ind w:left="1440"/>
        <w:jc w:val="both"/>
        <w:rPr>
          <w:rFonts w:eastAsia="Times New Roman" w:cs="Times New Roman"/>
          <w:szCs w:val="24"/>
        </w:rPr>
      </w:pPr>
      <w:r w:rsidRPr="0007310F">
        <w:rPr>
          <w:rFonts w:eastAsia="Times New Roman" w:cs="Times New Roman"/>
          <w:szCs w:val="24"/>
        </w:rPr>
        <w:t>(d</w:t>
      </w:r>
      <w:r>
        <w:rPr>
          <w:rFonts w:eastAsia="Times New Roman" w:cs="Times New Roman"/>
          <w:szCs w:val="24"/>
        </w:rPr>
        <w:t>) Provides that a</w:t>
      </w:r>
      <w:r w:rsidRPr="0007310F">
        <w:rPr>
          <w:rFonts w:eastAsia="Times New Roman" w:cs="Times New Roman"/>
          <w:szCs w:val="24"/>
        </w:rPr>
        <w:t xml:space="preserve"> registration certificate expires on the first anniversary of its date of issuance</w:t>
      </w:r>
      <w:r>
        <w:rPr>
          <w:rFonts w:eastAsia="Times New Roman" w:cs="Times New Roman"/>
          <w:szCs w:val="24"/>
        </w:rPr>
        <w:t>. Authorizes a</w:t>
      </w:r>
      <w:r w:rsidRPr="0007310F">
        <w:rPr>
          <w:rFonts w:eastAsia="Times New Roman" w:cs="Times New Roman"/>
          <w:szCs w:val="24"/>
        </w:rPr>
        <w:t xml:space="preserve"> data broker </w:t>
      </w:r>
      <w:r>
        <w:rPr>
          <w:rFonts w:eastAsia="Times New Roman" w:cs="Times New Roman"/>
          <w:szCs w:val="24"/>
        </w:rPr>
        <w:t>to</w:t>
      </w:r>
      <w:r w:rsidRPr="0007310F">
        <w:rPr>
          <w:rFonts w:eastAsia="Times New Roman" w:cs="Times New Roman"/>
          <w:szCs w:val="24"/>
        </w:rPr>
        <w:t xml:space="preserve"> renew a registration certificate by filing a renewal application, in the form prescribed by </w:t>
      </w:r>
      <w:r>
        <w:rPr>
          <w:rFonts w:eastAsia="Times New Roman" w:cs="Times New Roman"/>
          <w:szCs w:val="24"/>
        </w:rPr>
        <w:t>SOS</w:t>
      </w:r>
      <w:r w:rsidRPr="0007310F">
        <w:rPr>
          <w:rFonts w:eastAsia="Times New Roman" w:cs="Times New Roman"/>
          <w:szCs w:val="24"/>
        </w:rPr>
        <w:t>, and paying a renewal fee in the amount of $300.</w:t>
      </w:r>
    </w:p>
    <w:p w:rsidR="0099363B" w:rsidRPr="0007310F" w:rsidRDefault="0099363B" w:rsidP="00305DB3">
      <w:pPr>
        <w:spacing w:after="0" w:line="240" w:lineRule="auto"/>
        <w:ind w:left="1440"/>
        <w:jc w:val="both"/>
        <w:rPr>
          <w:rFonts w:eastAsia="Times New Roman" w:cs="Times New Roman"/>
          <w:szCs w:val="24"/>
        </w:rPr>
      </w:pPr>
    </w:p>
    <w:p w:rsidR="0099363B" w:rsidRDefault="0099363B" w:rsidP="00305DB3">
      <w:pPr>
        <w:spacing w:after="0" w:line="240" w:lineRule="auto"/>
        <w:ind w:left="720"/>
        <w:jc w:val="both"/>
        <w:rPr>
          <w:rFonts w:eastAsia="Times New Roman" w:cs="Times New Roman"/>
          <w:szCs w:val="24"/>
        </w:rPr>
      </w:pPr>
      <w:r w:rsidRPr="0007310F">
        <w:rPr>
          <w:rFonts w:eastAsia="Times New Roman" w:cs="Times New Roman"/>
          <w:szCs w:val="24"/>
        </w:rPr>
        <w:t>Sec. 509.006</w:t>
      </w:r>
      <w:r>
        <w:rPr>
          <w:rFonts w:eastAsia="Times New Roman" w:cs="Times New Roman"/>
          <w:szCs w:val="24"/>
        </w:rPr>
        <w:t xml:space="preserve">. </w:t>
      </w:r>
      <w:r w:rsidRPr="0007310F">
        <w:rPr>
          <w:rFonts w:eastAsia="Times New Roman" w:cs="Times New Roman"/>
          <w:szCs w:val="24"/>
        </w:rPr>
        <w:t>REGISTRY OF DATA BROKERS</w:t>
      </w:r>
      <w:r>
        <w:rPr>
          <w:rFonts w:eastAsia="Times New Roman" w:cs="Times New Roman"/>
          <w:szCs w:val="24"/>
        </w:rPr>
        <w:t xml:space="preserve">. </w:t>
      </w:r>
      <w:r w:rsidRPr="0007310F">
        <w:rPr>
          <w:rFonts w:eastAsia="Times New Roman" w:cs="Times New Roman"/>
          <w:szCs w:val="24"/>
        </w:rPr>
        <w:t>(a</w:t>
      </w:r>
      <w:r>
        <w:rPr>
          <w:rFonts w:eastAsia="Times New Roman" w:cs="Times New Roman"/>
          <w:szCs w:val="24"/>
        </w:rPr>
        <w:t>) Requires SOS to</w:t>
      </w:r>
      <w:r w:rsidRPr="0007310F">
        <w:rPr>
          <w:rFonts w:eastAsia="Times New Roman" w:cs="Times New Roman"/>
          <w:szCs w:val="24"/>
        </w:rPr>
        <w:t xml:space="preserve"> establish and maintain, on its Internet website, a searchable, central registry of data brokers registered under Section 509.005.</w:t>
      </w:r>
    </w:p>
    <w:p w:rsidR="0099363B" w:rsidRPr="0007310F" w:rsidRDefault="0099363B" w:rsidP="00305DB3">
      <w:pPr>
        <w:spacing w:after="0" w:line="240" w:lineRule="auto"/>
        <w:ind w:left="720"/>
        <w:jc w:val="both"/>
        <w:rPr>
          <w:rFonts w:eastAsia="Times New Roman" w:cs="Times New Roman"/>
          <w:szCs w:val="24"/>
        </w:rPr>
      </w:pPr>
    </w:p>
    <w:p w:rsidR="0099363B" w:rsidRDefault="0099363B" w:rsidP="00305DB3">
      <w:pPr>
        <w:spacing w:after="0" w:line="240" w:lineRule="auto"/>
        <w:ind w:left="1440"/>
        <w:jc w:val="both"/>
        <w:rPr>
          <w:rFonts w:eastAsia="Times New Roman" w:cs="Times New Roman"/>
          <w:szCs w:val="24"/>
        </w:rPr>
      </w:pPr>
      <w:r w:rsidRPr="0007310F">
        <w:rPr>
          <w:rFonts w:eastAsia="Times New Roman" w:cs="Times New Roman"/>
          <w:szCs w:val="24"/>
        </w:rPr>
        <w:t>(b</w:t>
      </w:r>
      <w:r>
        <w:rPr>
          <w:rFonts w:eastAsia="Times New Roman" w:cs="Times New Roman"/>
          <w:szCs w:val="24"/>
        </w:rPr>
        <w:t>) Requires that the</w:t>
      </w:r>
      <w:r w:rsidRPr="0007310F">
        <w:rPr>
          <w:rFonts w:eastAsia="Times New Roman" w:cs="Times New Roman"/>
          <w:szCs w:val="24"/>
        </w:rPr>
        <w:t xml:space="preserve"> registry include:</w:t>
      </w:r>
    </w:p>
    <w:p w:rsidR="0099363B" w:rsidRPr="0007310F" w:rsidRDefault="0099363B" w:rsidP="00305DB3">
      <w:pPr>
        <w:spacing w:after="0" w:line="240" w:lineRule="auto"/>
        <w:ind w:left="144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(1</w:t>
      </w:r>
      <w:r>
        <w:rPr>
          <w:rFonts w:eastAsia="Times New Roman" w:cs="Times New Roman"/>
          <w:szCs w:val="24"/>
        </w:rPr>
        <w:t xml:space="preserve">) </w:t>
      </w:r>
      <w:r w:rsidRPr="0007310F">
        <w:rPr>
          <w:rFonts w:eastAsia="Times New Roman" w:cs="Times New Roman"/>
          <w:szCs w:val="24"/>
        </w:rPr>
        <w:t>a search feature that allows a person searching the registry to identify a specific data broker; and</w:t>
      </w:r>
    </w:p>
    <w:p w:rsidR="0099363B" w:rsidRPr="0007310F"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(2</w:t>
      </w:r>
      <w:r>
        <w:rPr>
          <w:rFonts w:eastAsia="Times New Roman" w:cs="Times New Roman"/>
          <w:szCs w:val="24"/>
        </w:rPr>
        <w:t xml:space="preserve">) </w:t>
      </w:r>
      <w:r w:rsidRPr="0007310F">
        <w:rPr>
          <w:rFonts w:eastAsia="Times New Roman" w:cs="Times New Roman"/>
          <w:szCs w:val="24"/>
        </w:rPr>
        <w:t>for each data broker, the information filed under Section 509.005(b).</w:t>
      </w:r>
    </w:p>
    <w:p w:rsidR="0099363B" w:rsidRPr="0007310F" w:rsidRDefault="0099363B" w:rsidP="00305DB3">
      <w:pPr>
        <w:spacing w:after="0" w:line="240" w:lineRule="auto"/>
        <w:jc w:val="both"/>
        <w:rPr>
          <w:rFonts w:eastAsia="Times New Roman" w:cs="Times New Roman"/>
          <w:szCs w:val="24"/>
        </w:rPr>
      </w:pPr>
    </w:p>
    <w:p w:rsidR="0099363B" w:rsidRDefault="0099363B" w:rsidP="00305DB3">
      <w:pPr>
        <w:spacing w:after="0" w:line="240" w:lineRule="auto"/>
        <w:ind w:left="720"/>
        <w:jc w:val="both"/>
        <w:rPr>
          <w:rFonts w:eastAsia="Times New Roman" w:cs="Times New Roman"/>
          <w:szCs w:val="24"/>
        </w:rPr>
      </w:pPr>
      <w:r w:rsidRPr="0007310F">
        <w:rPr>
          <w:rFonts w:eastAsia="Times New Roman" w:cs="Times New Roman"/>
          <w:szCs w:val="24"/>
        </w:rPr>
        <w:t>Sec. 509.007</w:t>
      </w:r>
      <w:r>
        <w:rPr>
          <w:rFonts w:eastAsia="Times New Roman" w:cs="Times New Roman"/>
          <w:szCs w:val="24"/>
        </w:rPr>
        <w:t xml:space="preserve">. </w:t>
      </w:r>
      <w:r w:rsidRPr="0007310F">
        <w:rPr>
          <w:rFonts w:eastAsia="Times New Roman" w:cs="Times New Roman"/>
          <w:szCs w:val="24"/>
        </w:rPr>
        <w:t>PROTECTION OF PERSONAL DATA:  COMPREHENSIVE INFORMATION SECURITY PROGRAM</w:t>
      </w:r>
      <w:r>
        <w:rPr>
          <w:rFonts w:eastAsia="Times New Roman" w:cs="Times New Roman"/>
          <w:szCs w:val="24"/>
        </w:rPr>
        <w:t xml:space="preserve">. </w:t>
      </w:r>
      <w:r w:rsidRPr="0007310F">
        <w:rPr>
          <w:rFonts w:eastAsia="Times New Roman" w:cs="Times New Roman"/>
          <w:szCs w:val="24"/>
        </w:rPr>
        <w:t>(a</w:t>
      </w:r>
      <w:r>
        <w:rPr>
          <w:rFonts w:eastAsia="Times New Roman" w:cs="Times New Roman"/>
          <w:szCs w:val="24"/>
        </w:rPr>
        <w:t>) Provides that a</w:t>
      </w:r>
      <w:r w:rsidRPr="0007310F">
        <w:rPr>
          <w:rFonts w:eastAsia="Times New Roman" w:cs="Times New Roman"/>
          <w:szCs w:val="24"/>
        </w:rPr>
        <w:t xml:space="preserve"> data broker conducting business in this state has a duty to protect personal data held by that data broker as provided by this section. </w:t>
      </w:r>
    </w:p>
    <w:p w:rsidR="0099363B" w:rsidRPr="0007310F" w:rsidRDefault="0099363B" w:rsidP="00305DB3">
      <w:pPr>
        <w:spacing w:after="0" w:line="240" w:lineRule="auto"/>
        <w:ind w:left="720"/>
        <w:jc w:val="both"/>
        <w:rPr>
          <w:rFonts w:eastAsia="Times New Roman" w:cs="Times New Roman"/>
          <w:szCs w:val="24"/>
        </w:rPr>
      </w:pPr>
    </w:p>
    <w:p w:rsidR="0099363B" w:rsidRDefault="0099363B" w:rsidP="00305DB3">
      <w:pPr>
        <w:spacing w:after="0" w:line="240" w:lineRule="auto"/>
        <w:ind w:left="1440"/>
        <w:jc w:val="both"/>
        <w:rPr>
          <w:rFonts w:eastAsia="Times New Roman" w:cs="Times New Roman"/>
          <w:szCs w:val="24"/>
        </w:rPr>
      </w:pPr>
      <w:r w:rsidRPr="0007310F">
        <w:rPr>
          <w:rFonts w:eastAsia="Times New Roman" w:cs="Times New Roman"/>
          <w:szCs w:val="24"/>
        </w:rPr>
        <w:t>(b</w:t>
      </w:r>
      <w:r>
        <w:rPr>
          <w:rFonts w:eastAsia="Times New Roman" w:cs="Times New Roman"/>
          <w:szCs w:val="24"/>
        </w:rPr>
        <w:t>) Requires a</w:t>
      </w:r>
      <w:r w:rsidRPr="0007310F">
        <w:rPr>
          <w:rFonts w:eastAsia="Times New Roman" w:cs="Times New Roman"/>
          <w:szCs w:val="24"/>
        </w:rPr>
        <w:t xml:space="preserve"> data broker </w:t>
      </w:r>
      <w:r>
        <w:rPr>
          <w:rFonts w:eastAsia="Times New Roman" w:cs="Times New Roman"/>
          <w:szCs w:val="24"/>
        </w:rPr>
        <w:t>to</w:t>
      </w:r>
      <w:r w:rsidRPr="0007310F">
        <w:rPr>
          <w:rFonts w:eastAsia="Times New Roman" w:cs="Times New Roman"/>
          <w:szCs w:val="24"/>
        </w:rPr>
        <w:t xml:space="preserve"> develop, implement, and maintain a comprehensive information security program that is written in one or more readily accessible parts and contains administrative, technical, and physical safeguards that are appropriate for:</w:t>
      </w:r>
    </w:p>
    <w:p w:rsidR="0099363B" w:rsidRPr="0007310F" w:rsidRDefault="0099363B" w:rsidP="00305DB3">
      <w:pPr>
        <w:spacing w:after="0" w:line="240" w:lineRule="auto"/>
        <w:ind w:left="72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(1</w:t>
      </w:r>
      <w:r>
        <w:rPr>
          <w:rFonts w:eastAsia="Times New Roman" w:cs="Times New Roman"/>
          <w:szCs w:val="24"/>
        </w:rPr>
        <w:t xml:space="preserve">) </w:t>
      </w:r>
      <w:r w:rsidRPr="0007310F">
        <w:rPr>
          <w:rFonts w:eastAsia="Times New Roman" w:cs="Times New Roman"/>
          <w:szCs w:val="24"/>
        </w:rPr>
        <w:t>the data broker's size, scope, and type of business;</w:t>
      </w:r>
    </w:p>
    <w:p w:rsidR="0099363B"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(2</w:t>
      </w:r>
      <w:r>
        <w:rPr>
          <w:rFonts w:eastAsia="Times New Roman" w:cs="Times New Roman"/>
          <w:szCs w:val="24"/>
        </w:rPr>
        <w:t xml:space="preserve">) </w:t>
      </w:r>
      <w:r w:rsidRPr="0007310F">
        <w:rPr>
          <w:rFonts w:eastAsia="Times New Roman" w:cs="Times New Roman"/>
          <w:szCs w:val="24"/>
        </w:rPr>
        <w:t>the amount of resources available to the data broker;</w:t>
      </w:r>
    </w:p>
    <w:p w:rsidR="0099363B" w:rsidRPr="0007310F"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(3</w:t>
      </w:r>
      <w:r>
        <w:rPr>
          <w:rFonts w:eastAsia="Times New Roman" w:cs="Times New Roman"/>
          <w:szCs w:val="24"/>
        </w:rPr>
        <w:t xml:space="preserve">) </w:t>
      </w:r>
      <w:r w:rsidRPr="0007310F">
        <w:rPr>
          <w:rFonts w:eastAsia="Times New Roman" w:cs="Times New Roman"/>
          <w:szCs w:val="24"/>
        </w:rPr>
        <w:t>the amount of data stored by the data broker; and</w:t>
      </w:r>
    </w:p>
    <w:p w:rsidR="0099363B" w:rsidRPr="0007310F"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(4</w:t>
      </w:r>
      <w:r>
        <w:rPr>
          <w:rFonts w:eastAsia="Times New Roman" w:cs="Times New Roman"/>
          <w:szCs w:val="24"/>
        </w:rPr>
        <w:t xml:space="preserve">) </w:t>
      </w:r>
      <w:r w:rsidRPr="0007310F">
        <w:rPr>
          <w:rFonts w:eastAsia="Times New Roman" w:cs="Times New Roman"/>
          <w:szCs w:val="24"/>
        </w:rPr>
        <w:t>the need for security and confidentiality of personal data stored by the data broker.</w:t>
      </w:r>
    </w:p>
    <w:p w:rsidR="0099363B" w:rsidRPr="0007310F" w:rsidRDefault="0099363B" w:rsidP="00305DB3">
      <w:pPr>
        <w:spacing w:after="0" w:line="240" w:lineRule="auto"/>
        <w:ind w:left="2160"/>
        <w:jc w:val="both"/>
        <w:rPr>
          <w:rFonts w:eastAsia="Times New Roman" w:cs="Times New Roman"/>
          <w:szCs w:val="24"/>
        </w:rPr>
      </w:pPr>
    </w:p>
    <w:p w:rsidR="0099363B" w:rsidRPr="0007310F" w:rsidRDefault="0099363B" w:rsidP="00305DB3">
      <w:pPr>
        <w:spacing w:after="0" w:line="240" w:lineRule="auto"/>
        <w:ind w:left="1440"/>
        <w:jc w:val="both"/>
        <w:rPr>
          <w:rFonts w:eastAsia="Times New Roman" w:cs="Times New Roman"/>
          <w:szCs w:val="24"/>
        </w:rPr>
      </w:pPr>
      <w:r w:rsidRPr="0007310F">
        <w:rPr>
          <w:rFonts w:eastAsia="Times New Roman" w:cs="Times New Roman"/>
          <w:szCs w:val="24"/>
        </w:rPr>
        <w:t>(c</w:t>
      </w:r>
      <w:r>
        <w:rPr>
          <w:rFonts w:eastAsia="Times New Roman" w:cs="Times New Roman"/>
          <w:szCs w:val="24"/>
        </w:rPr>
        <w:t>) Requires that t</w:t>
      </w:r>
      <w:r w:rsidRPr="0007310F">
        <w:rPr>
          <w:rFonts w:eastAsia="Times New Roman" w:cs="Times New Roman"/>
          <w:szCs w:val="24"/>
        </w:rPr>
        <w:t>he comprehensive information security program required by this section:</w:t>
      </w:r>
    </w:p>
    <w:p w:rsidR="0099363B" w:rsidRDefault="0099363B" w:rsidP="00305DB3">
      <w:pPr>
        <w:spacing w:after="0" w:line="240" w:lineRule="auto"/>
        <w:ind w:left="72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(1</w:t>
      </w:r>
      <w:r>
        <w:rPr>
          <w:rFonts w:eastAsia="Times New Roman" w:cs="Times New Roman"/>
          <w:szCs w:val="24"/>
        </w:rPr>
        <w:t xml:space="preserve">) </w:t>
      </w:r>
      <w:r w:rsidRPr="0007310F">
        <w:rPr>
          <w:rFonts w:eastAsia="Times New Roman" w:cs="Times New Roman"/>
          <w:szCs w:val="24"/>
        </w:rPr>
        <w:t>incorporate safeguards that are consistent with the safeguards for protection of personal data and information of a similar character under state or federal laws and regulations applicable to the data broker;</w:t>
      </w:r>
    </w:p>
    <w:p w:rsidR="0099363B" w:rsidRPr="0007310F"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(2</w:t>
      </w:r>
      <w:r>
        <w:rPr>
          <w:rFonts w:eastAsia="Times New Roman" w:cs="Times New Roman"/>
          <w:szCs w:val="24"/>
        </w:rPr>
        <w:t xml:space="preserve">) </w:t>
      </w:r>
      <w:r w:rsidRPr="0007310F">
        <w:rPr>
          <w:rFonts w:eastAsia="Times New Roman" w:cs="Times New Roman"/>
          <w:szCs w:val="24"/>
        </w:rPr>
        <w:t>include the designation of one or more employees of the data broker to maintain the program;</w:t>
      </w:r>
    </w:p>
    <w:p w:rsidR="0099363B" w:rsidRPr="0007310F"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(3</w:t>
      </w:r>
      <w:r>
        <w:rPr>
          <w:rFonts w:eastAsia="Times New Roman" w:cs="Times New Roman"/>
          <w:szCs w:val="24"/>
        </w:rPr>
        <w:t xml:space="preserve">) </w:t>
      </w:r>
      <w:r w:rsidRPr="0007310F">
        <w:rPr>
          <w:rFonts w:eastAsia="Times New Roman" w:cs="Times New Roman"/>
          <w:szCs w:val="24"/>
        </w:rPr>
        <w:t>require the identification and assessment of reasonably foreseeable internal and external risks to the security, confidentiality, and integrity of any electronic, paper, or other record containing personal data, and the establishment of a process for evaluating and improving, as necessary, the effectiveness of the current safeguards for limiting those risks, including by:</w:t>
      </w:r>
    </w:p>
    <w:p w:rsidR="0099363B" w:rsidRPr="0007310F"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2880"/>
        <w:jc w:val="both"/>
        <w:rPr>
          <w:rFonts w:eastAsia="Times New Roman" w:cs="Times New Roman"/>
          <w:szCs w:val="24"/>
        </w:rPr>
      </w:pPr>
      <w:r w:rsidRPr="0007310F">
        <w:rPr>
          <w:rFonts w:eastAsia="Times New Roman" w:cs="Times New Roman"/>
          <w:szCs w:val="24"/>
        </w:rPr>
        <w:t>(A</w:t>
      </w:r>
      <w:r>
        <w:rPr>
          <w:rFonts w:eastAsia="Times New Roman" w:cs="Times New Roman"/>
          <w:szCs w:val="24"/>
        </w:rPr>
        <w:t xml:space="preserve">) </w:t>
      </w:r>
      <w:r w:rsidRPr="0007310F">
        <w:rPr>
          <w:rFonts w:eastAsia="Times New Roman" w:cs="Times New Roman"/>
          <w:szCs w:val="24"/>
        </w:rPr>
        <w:t>requiring ongoing employee and contractor education and training, including education and training for temporary employees and contractors of the data broker, on the proper use of security procedures and protocols and the importance of personal data security;</w:t>
      </w:r>
    </w:p>
    <w:p w:rsidR="0099363B" w:rsidRPr="0007310F" w:rsidRDefault="0099363B" w:rsidP="00305DB3">
      <w:pPr>
        <w:spacing w:after="0" w:line="240" w:lineRule="auto"/>
        <w:ind w:left="2880"/>
        <w:jc w:val="both"/>
        <w:rPr>
          <w:rFonts w:eastAsia="Times New Roman" w:cs="Times New Roman"/>
          <w:szCs w:val="24"/>
        </w:rPr>
      </w:pPr>
    </w:p>
    <w:p w:rsidR="0099363B" w:rsidRDefault="0099363B" w:rsidP="00305DB3">
      <w:pPr>
        <w:spacing w:after="0" w:line="240" w:lineRule="auto"/>
        <w:ind w:left="2880"/>
        <w:jc w:val="both"/>
        <w:rPr>
          <w:rFonts w:eastAsia="Times New Roman" w:cs="Times New Roman"/>
          <w:szCs w:val="24"/>
        </w:rPr>
      </w:pPr>
      <w:r w:rsidRPr="0007310F">
        <w:rPr>
          <w:rFonts w:eastAsia="Times New Roman" w:cs="Times New Roman"/>
          <w:szCs w:val="24"/>
        </w:rPr>
        <w:t>(B</w:t>
      </w:r>
      <w:r>
        <w:rPr>
          <w:rFonts w:eastAsia="Times New Roman" w:cs="Times New Roman"/>
          <w:szCs w:val="24"/>
        </w:rPr>
        <w:t xml:space="preserve">) </w:t>
      </w:r>
      <w:r w:rsidRPr="0007310F">
        <w:rPr>
          <w:rFonts w:eastAsia="Times New Roman" w:cs="Times New Roman"/>
          <w:szCs w:val="24"/>
        </w:rPr>
        <w:t>mandating employee compliance with policies and procedures established under the program; and</w:t>
      </w:r>
    </w:p>
    <w:p w:rsidR="0099363B" w:rsidRPr="0007310F" w:rsidRDefault="0099363B" w:rsidP="00305DB3">
      <w:pPr>
        <w:spacing w:after="0" w:line="240" w:lineRule="auto"/>
        <w:ind w:left="2880"/>
        <w:jc w:val="both"/>
        <w:rPr>
          <w:rFonts w:eastAsia="Times New Roman" w:cs="Times New Roman"/>
          <w:szCs w:val="24"/>
        </w:rPr>
      </w:pPr>
    </w:p>
    <w:p w:rsidR="0099363B" w:rsidRDefault="0099363B" w:rsidP="00305DB3">
      <w:pPr>
        <w:spacing w:after="0" w:line="240" w:lineRule="auto"/>
        <w:ind w:left="2880"/>
        <w:jc w:val="both"/>
        <w:rPr>
          <w:rFonts w:eastAsia="Times New Roman" w:cs="Times New Roman"/>
          <w:szCs w:val="24"/>
        </w:rPr>
      </w:pPr>
      <w:r w:rsidRPr="0007310F">
        <w:rPr>
          <w:rFonts w:eastAsia="Times New Roman" w:cs="Times New Roman"/>
          <w:szCs w:val="24"/>
        </w:rPr>
        <w:t>(C</w:t>
      </w:r>
      <w:r>
        <w:rPr>
          <w:rFonts w:eastAsia="Times New Roman" w:cs="Times New Roman"/>
          <w:szCs w:val="24"/>
        </w:rPr>
        <w:t xml:space="preserve">) </w:t>
      </w:r>
      <w:r w:rsidRPr="0007310F">
        <w:rPr>
          <w:rFonts w:eastAsia="Times New Roman" w:cs="Times New Roman"/>
          <w:szCs w:val="24"/>
        </w:rPr>
        <w:t>providing a means for detecting and preventing security system failures;</w:t>
      </w:r>
    </w:p>
    <w:p w:rsidR="0099363B" w:rsidRPr="0007310F" w:rsidRDefault="0099363B" w:rsidP="00305DB3">
      <w:pPr>
        <w:spacing w:after="0" w:line="240" w:lineRule="auto"/>
        <w:ind w:left="288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(4</w:t>
      </w:r>
      <w:r>
        <w:rPr>
          <w:rFonts w:eastAsia="Times New Roman" w:cs="Times New Roman"/>
          <w:szCs w:val="24"/>
        </w:rPr>
        <w:t xml:space="preserve">) </w:t>
      </w:r>
      <w:r w:rsidRPr="0007310F">
        <w:rPr>
          <w:rFonts w:eastAsia="Times New Roman" w:cs="Times New Roman"/>
          <w:szCs w:val="24"/>
        </w:rPr>
        <w:t>include security policies for the data broker's employees relating to the storage, access, and transportation of records containing personal data outside of the broker's physical business premises;</w:t>
      </w:r>
    </w:p>
    <w:p w:rsidR="0099363B" w:rsidRPr="0007310F"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(5</w:t>
      </w:r>
      <w:r>
        <w:rPr>
          <w:rFonts w:eastAsia="Times New Roman" w:cs="Times New Roman"/>
          <w:szCs w:val="24"/>
        </w:rPr>
        <w:t xml:space="preserve">) </w:t>
      </w:r>
      <w:r w:rsidRPr="0007310F">
        <w:rPr>
          <w:rFonts w:eastAsia="Times New Roman" w:cs="Times New Roman"/>
          <w:szCs w:val="24"/>
        </w:rPr>
        <w:t>provide disciplinary measures for violations of a policy or procedure established under the program;</w:t>
      </w:r>
    </w:p>
    <w:p w:rsidR="0099363B" w:rsidRPr="0007310F"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(6</w:t>
      </w:r>
      <w:r>
        <w:rPr>
          <w:rFonts w:eastAsia="Times New Roman" w:cs="Times New Roman"/>
          <w:szCs w:val="24"/>
        </w:rPr>
        <w:t xml:space="preserve">) </w:t>
      </w:r>
      <w:r w:rsidRPr="0007310F">
        <w:rPr>
          <w:rFonts w:eastAsia="Times New Roman" w:cs="Times New Roman"/>
          <w:szCs w:val="24"/>
        </w:rPr>
        <w:t>include measures for preventing a terminated employee from accessing records containing personal data;</w:t>
      </w:r>
    </w:p>
    <w:p w:rsidR="0099363B" w:rsidRPr="0007310F"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(7</w:t>
      </w:r>
      <w:r>
        <w:rPr>
          <w:rFonts w:eastAsia="Times New Roman" w:cs="Times New Roman"/>
          <w:szCs w:val="24"/>
        </w:rPr>
        <w:t xml:space="preserve">) </w:t>
      </w:r>
      <w:r w:rsidRPr="0007310F">
        <w:rPr>
          <w:rFonts w:eastAsia="Times New Roman" w:cs="Times New Roman"/>
          <w:szCs w:val="24"/>
        </w:rPr>
        <w:t>provide policies for the supervision of third-party service providers that include:</w:t>
      </w:r>
    </w:p>
    <w:p w:rsidR="0099363B" w:rsidRPr="0007310F" w:rsidRDefault="0099363B" w:rsidP="00305DB3">
      <w:pPr>
        <w:spacing w:after="0" w:line="240" w:lineRule="auto"/>
        <w:ind w:left="2160"/>
        <w:jc w:val="both"/>
        <w:rPr>
          <w:rFonts w:eastAsia="Times New Roman" w:cs="Times New Roman"/>
          <w:szCs w:val="24"/>
        </w:rPr>
      </w:pPr>
    </w:p>
    <w:p w:rsidR="0099363B" w:rsidRPr="0007310F" w:rsidRDefault="0099363B" w:rsidP="00305DB3">
      <w:pPr>
        <w:spacing w:after="0" w:line="240" w:lineRule="auto"/>
        <w:ind w:left="2880"/>
        <w:jc w:val="both"/>
        <w:rPr>
          <w:rFonts w:eastAsia="Times New Roman" w:cs="Times New Roman"/>
          <w:szCs w:val="24"/>
        </w:rPr>
      </w:pPr>
      <w:r w:rsidRPr="0007310F">
        <w:rPr>
          <w:rFonts w:eastAsia="Times New Roman" w:cs="Times New Roman"/>
          <w:szCs w:val="24"/>
        </w:rPr>
        <w:t>(A</w:t>
      </w:r>
      <w:r>
        <w:rPr>
          <w:rFonts w:eastAsia="Times New Roman" w:cs="Times New Roman"/>
          <w:szCs w:val="24"/>
        </w:rPr>
        <w:t xml:space="preserve">) </w:t>
      </w:r>
      <w:r w:rsidRPr="0007310F">
        <w:rPr>
          <w:rFonts w:eastAsia="Times New Roman" w:cs="Times New Roman"/>
          <w:szCs w:val="24"/>
        </w:rPr>
        <w:t>taking reasonable steps to select and retain third-party service providers that are capable of maintaining appropriate security measures to protect personal data consistent with applicable law; and</w:t>
      </w:r>
    </w:p>
    <w:p w:rsidR="0099363B" w:rsidRDefault="0099363B" w:rsidP="00305DB3">
      <w:pPr>
        <w:spacing w:after="0" w:line="240" w:lineRule="auto"/>
        <w:ind w:left="2880"/>
        <w:jc w:val="both"/>
        <w:rPr>
          <w:rFonts w:eastAsia="Times New Roman" w:cs="Times New Roman"/>
          <w:szCs w:val="24"/>
        </w:rPr>
      </w:pPr>
    </w:p>
    <w:p w:rsidR="0099363B" w:rsidRDefault="0099363B" w:rsidP="00305DB3">
      <w:pPr>
        <w:spacing w:after="0" w:line="240" w:lineRule="auto"/>
        <w:ind w:left="2880"/>
        <w:jc w:val="both"/>
        <w:rPr>
          <w:rFonts w:eastAsia="Times New Roman" w:cs="Times New Roman"/>
          <w:szCs w:val="24"/>
        </w:rPr>
      </w:pPr>
      <w:r w:rsidRPr="0007310F">
        <w:rPr>
          <w:rFonts w:eastAsia="Times New Roman" w:cs="Times New Roman"/>
          <w:szCs w:val="24"/>
        </w:rPr>
        <w:t>(B</w:t>
      </w:r>
      <w:r>
        <w:rPr>
          <w:rFonts w:eastAsia="Times New Roman" w:cs="Times New Roman"/>
          <w:szCs w:val="24"/>
        </w:rPr>
        <w:t xml:space="preserve">) </w:t>
      </w:r>
      <w:r w:rsidRPr="0007310F">
        <w:rPr>
          <w:rFonts w:eastAsia="Times New Roman" w:cs="Times New Roman"/>
          <w:szCs w:val="24"/>
        </w:rPr>
        <w:t>requiring third-party service providers by contract to implement and maintain appropriate security measures for personal data;</w:t>
      </w:r>
    </w:p>
    <w:p w:rsidR="0099363B" w:rsidRPr="0007310F" w:rsidRDefault="0099363B" w:rsidP="00305DB3">
      <w:pPr>
        <w:spacing w:after="0" w:line="240" w:lineRule="auto"/>
        <w:ind w:left="2880"/>
        <w:jc w:val="both"/>
        <w:rPr>
          <w:rFonts w:eastAsia="Times New Roman" w:cs="Times New Roman"/>
          <w:szCs w:val="24"/>
        </w:rPr>
      </w:pPr>
    </w:p>
    <w:p w:rsidR="0099363B" w:rsidRPr="0007310F"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(8</w:t>
      </w:r>
      <w:r>
        <w:rPr>
          <w:rFonts w:eastAsia="Times New Roman" w:cs="Times New Roman"/>
          <w:szCs w:val="24"/>
        </w:rPr>
        <w:t xml:space="preserve">) </w:t>
      </w:r>
      <w:r w:rsidRPr="0007310F">
        <w:rPr>
          <w:rFonts w:eastAsia="Times New Roman" w:cs="Times New Roman"/>
          <w:szCs w:val="24"/>
        </w:rPr>
        <w:t>provide reasonable restrictions on physical access to records containing personal data, including by requiring the records containing the data to be stored in a locked facility, storage area, or container;</w:t>
      </w:r>
    </w:p>
    <w:p w:rsidR="0099363B" w:rsidRDefault="0099363B" w:rsidP="00305DB3">
      <w:pPr>
        <w:spacing w:after="0" w:line="240" w:lineRule="auto"/>
        <w:ind w:left="2160"/>
        <w:jc w:val="both"/>
        <w:rPr>
          <w:rFonts w:eastAsia="Times New Roman" w:cs="Times New Roman"/>
          <w:szCs w:val="24"/>
        </w:rPr>
      </w:pPr>
    </w:p>
    <w:p w:rsidR="0099363B" w:rsidRPr="0007310F"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(9</w:t>
      </w:r>
      <w:r>
        <w:rPr>
          <w:rFonts w:eastAsia="Times New Roman" w:cs="Times New Roman"/>
          <w:szCs w:val="24"/>
        </w:rPr>
        <w:t xml:space="preserve">) </w:t>
      </w:r>
      <w:r w:rsidRPr="0007310F">
        <w:rPr>
          <w:rFonts w:eastAsia="Times New Roman" w:cs="Times New Roman"/>
          <w:szCs w:val="24"/>
        </w:rPr>
        <w:t>include regular monitoring to ensure that the program is operating in a manner reasonably calculated to prevent unauthorized access to or unauthorized use of personal data and, as necessary, upgrading information safeguards to limit the risk of unauthorized access to or unauthorized use of personal data;</w:t>
      </w:r>
    </w:p>
    <w:p w:rsidR="0099363B" w:rsidRDefault="0099363B" w:rsidP="00305DB3">
      <w:pPr>
        <w:spacing w:after="0" w:line="240" w:lineRule="auto"/>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(10</w:t>
      </w:r>
      <w:r>
        <w:rPr>
          <w:rFonts w:eastAsia="Times New Roman" w:cs="Times New Roman"/>
          <w:szCs w:val="24"/>
        </w:rPr>
        <w:t xml:space="preserve">) </w:t>
      </w:r>
      <w:r w:rsidRPr="0007310F">
        <w:rPr>
          <w:rFonts w:eastAsia="Times New Roman" w:cs="Times New Roman"/>
          <w:szCs w:val="24"/>
        </w:rPr>
        <w:t xml:space="preserve">require the regular review of the scope of the program's security measures that </w:t>
      </w:r>
      <w:r>
        <w:rPr>
          <w:rFonts w:eastAsia="Times New Roman" w:cs="Times New Roman"/>
          <w:szCs w:val="24"/>
        </w:rPr>
        <w:t>is required to</w:t>
      </w:r>
      <w:r w:rsidRPr="0007310F">
        <w:rPr>
          <w:rFonts w:eastAsia="Times New Roman" w:cs="Times New Roman"/>
          <w:szCs w:val="24"/>
        </w:rPr>
        <w:t xml:space="preserve"> occur:</w:t>
      </w:r>
    </w:p>
    <w:p w:rsidR="0099363B" w:rsidRPr="0007310F" w:rsidRDefault="0099363B" w:rsidP="00305DB3">
      <w:pPr>
        <w:spacing w:after="0" w:line="240" w:lineRule="auto"/>
        <w:ind w:left="2160"/>
        <w:jc w:val="both"/>
        <w:rPr>
          <w:rFonts w:eastAsia="Times New Roman" w:cs="Times New Roman"/>
          <w:szCs w:val="24"/>
        </w:rPr>
      </w:pPr>
    </w:p>
    <w:p w:rsidR="0099363B" w:rsidRDefault="0099363B" w:rsidP="00305DB3">
      <w:pPr>
        <w:spacing w:after="0" w:line="240" w:lineRule="auto"/>
        <w:ind w:left="2880"/>
        <w:jc w:val="both"/>
        <w:rPr>
          <w:rFonts w:eastAsia="Times New Roman" w:cs="Times New Roman"/>
          <w:szCs w:val="24"/>
        </w:rPr>
      </w:pPr>
      <w:r w:rsidRPr="0007310F">
        <w:rPr>
          <w:rFonts w:eastAsia="Times New Roman" w:cs="Times New Roman"/>
          <w:szCs w:val="24"/>
        </w:rPr>
        <w:t>(A</w:t>
      </w:r>
      <w:r>
        <w:rPr>
          <w:rFonts w:eastAsia="Times New Roman" w:cs="Times New Roman"/>
          <w:szCs w:val="24"/>
        </w:rPr>
        <w:t xml:space="preserve">) </w:t>
      </w:r>
      <w:r w:rsidRPr="0007310F">
        <w:rPr>
          <w:rFonts w:eastAsia="Times New Roman" w:cs="Times New Roman"/>
          <w:szCs w:val="24"/>
        </w:rPr>
        <w:t>at least annually; and</w:t>
      </w:r>
    </w:p>
    <w:p w:rsidR="0099363B" w:rsidRPr="0007310F" w:rsidRDefault="0099363B" w:rsidP="00305DB3">
      <w:pPr>
        <w:spacing w:after="0" w:line="240" w:lineRule="auto"/>
        <w:ind w:left="2880"/>
        <w:jc w:val="both"/>
        <w:rPr>
          <w:rFonts w:eastAsia="Times New Roman" w:cs="Times New Roman"/>
          <w:szCs w:val="24"/>
        </w:rPr>
      </w:pPr>
    </w:p>
    <w:p w:rsidR="0099363B" w:rsidRDefault="0099363B" w:rsidP="00305DB3">
      <w:pPr>
        <w:spacing w:after="0" w:line="240" w:lineRule="auto"/>
        <w:ind w:left="2880"/>
        <w:jc w:val="both"/>
        <w:rPr>
          <w:rFonts w:eastAsia="Times New Roman" w:cs="Times New Roman"/>
          <w:szCs w:val="24"/>
        </w:rPr>
      </w:pPr>
      <w:r w:rsidRPr="0007310F">
        <w:rPr>
          <w:rFonts w:eastAsia="Times New Roman" w:cs="Times New Roman"/>
          <w:szCs w:val="24"/>
        </w:rPr>
        <w:t>(B</w:t>
      </w:r>
      <w:r>
        <w:rPr>
          <w:rFonts w:eastAsia="Times New Roman" w:cs="Times New Roman"/>
          <w:szCs w:val="24"/>
        </w:rPr>
        <w:t xml:space="preserve">) </w:t>
      </w:r>
      <w:r w:rsidRPr="0007310F">
        <w:rPr>
          <w:rFonts w:eastAsia="Times New Roman" w:cs="Times New Roman"/>
          <w:szCs w:val="24"/>
        </w:rPr>
        <w:t xml:space="preserve">whenever there is a material change in the data broker's business practices that may reasonably affect the security or integrity of records containing personal data; </w:t>
      </w:r>
    </w:p>
    <w:p w:rsidR="0099363B" w:rsidRPr="0007310F" w:rsidRDefault="0099363B" w:rsidP="00305DB3">
      <w:pPr>
        <w:spacing w:after="0" w:line="240" w:lineRule="auto"/>
        <w:ind w:left="2880"/>
        <w:jc w:val="both"/>
        <w:rPr>
          <w:rFonts w:eastAsia="Times New Roman" w:cs="Times New Roman"/>
          <w:szCs w:val="24"/>
        </w:rPr>
      </w:pPr>
    </w:p>
    <w:p w:rsidR="0099363B" w:rsidRPr="0007310F"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(11</w:t>
      </w:r>
      <w:r>
        <w:rPr>
          <w:rFonts w:eastAsia="Times New Roman" w:cs="Times New Roman"/>
          <w:szCs w:val="24"/>
        </w:rPr>
        <w:t xml:space="preserve">) </w:t>
      </w:r>
      <w:r w:rsidRPr="0007310F">
        <w:rPr>
          <w:rFonts w:eastAsia="Times New Roman" w:cs="Times New Roman"/>
          <w:szCs w:val="24"/>
        </w:rPr>
        <w:t>require the documentation of responsive actions taken in connection with any incident involving a breach of security, including a mandatory post-incident review of each event and the actions taken, if any, to make changes in business practices relating to protection of personal data in response to that event; and</w:t>
      </w:r>
    </w:p>
    <w:p w:rsidR="0099363B" w:rsidRDefault="0099363B" w:rsidP="00305DB3">
      <w:pPr>
        <w:spacing w:after="0" w:line="240" w:lineRule="auto"/>
        <w:ind w:left="2880"/>
        <w:jc w:val="both"/>
        <w:rPr>
          <w:rFonts w:eastAsia="Times New Roman" w:cs="Times New Roman"/>
          <w:szCs w:val="24"/>
        </w:rPr>
      </w:pPr>
    </w:p>
    <w:p w:rsidR="0099363B" w:rsidRPr="0007310F"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(12</w:t>
      </w:r>
      <w:r>
        <w:rPr>
          <w:rFonts w:eastAsia="Times New Roman" w:cs="Times New Roman"/>
          <w:szCs w:val="24"/>
        </w:rPr>
        <w:t xml:space="preserve">) </w:t>
      </w:r>
      <w:r w:rsidRPr="0007310F">
        <w:rPr>
          <w:rFonts w:eastAsia="Times New Roman" w:cs="Times New Roman"/>
          <w:szCs w:val="24"/>
        </w:rPr>
        <w:t>to the extent technically feasible, include the following procedures and protocols with respect to computer system security requirements or procedures and protocols providing a higher degree of security, for the protection of personal data:</w:t>
      </w:r>
    </w:p>
    <w:p w:rsidR="0099363B" w:rsidRDefault="0099363B" w:rsidP="00305DB3">
      <w:pPr>
        <w:spacing w:after="0" w:line="240" w:lineRule="auto"/>
        <w:ind w:left="2880"/>
        <w:jc w:val="both"/>
        <w:rPr>
          <w:rFonts w:eastAsia="Times New Roman" w:cs="Times New Roman"/>
          <w:szCs w:val="24"/>
        </w:rPr>
      </w:pPr>
    </w:p>
    <w:p w:rsidR="0099363B" w:rsidRDefault="0099363B" w:rsidP="00305DB3">
      <w:pPr>
        <w:spacing w:after="0" w:line="240" w:lineRule="auto"/>
        <w:ind w:left="2880"/>
        <w:jc w:val="both"/>
        <w:rPr>
          <w:rFonts w:eastAsia="Times New Roman" w:cs="Times New Roman"/>
          <w:szCs w:val="24"/>
        </w:rPr>
      </w:pPr>
      <w:r w:rsidRPr="0007310F">
        <w:rPr>
          <w:rFonts w:eastAsia="Times New Roman" w:cs="Times New Roman"/>
          <w:szCs w:val="24"/>
        </w:rPr>
        <w:t>(A</w:t>
      </w:r>
      <w:r>
        <w:rPr>
          <w:rFonts w:eastAsia="Times New Roman" w:cs="Times New Roman"/>
          <w:szCs w:val="24"/>
        </w:rPr>
        <w:t xml:space="preserve">) </w:t>
      </w:r>
      <w:r w:rsidRPr="0007310F">
        <w:rPr>
          <w:rFonts w:eastAsia="Times New Roman" w:cs="Times New Roman"/>
          <w:szCs w:val="24"/>
        </w:rPr>
        <w:t>the use of secure user authentication protocols that include each of the following features:</w:t>
      </w:r>
    </w:p>
    <w:p w:rsidR="0099363B" w:rsidRPr="0007310F" w:rsidRDefault="0099363B" w:rsidP="00305DB3">
      <w:pPr>
        <w:spacing w:after="0" w:line="240" w:lineRule="auto"/>
        <w:ind w:left="2880"/>
        <w:jc w:val="both"/>
        <w:rPr>
          <w:rFonts w:eastAsia="Times New Roman" w:cs="Times New Roman"/>
          <w:szCs w:val="24"/>
        </w:rPr>
      </w:pPr>
    </w:p>
    <w:p w:rsidR="0099363B" w:rsidRDefault="0099363B" w:rsidP="00305DB3">
      <w:pPr>
        <w:spacing w:after="0" w:line="240" w:lineRule="auto"/>
        <w:ind w:left="3600"/>
        <w:jc w:val="both"/>
        <w:rPr>
          <w:rFonts w:eastAsia="Times New Roman" w:cs="Times New Roman"/>
          <w:szCs w:val="24"/>
        </w:rPr>
      </w:pPr>
      <w:r w:rsidRPr="0007310F">
        <w:rPr>
          <w:rFonts w:eastAsia="Times New Roman" w:cs="Times New Roman"/>
          <w:szCs w:val="24"/>
        </w:rPr>
        <w:t>(i</w:t>
      </w:r>
      <w:r>
        <w:rPr>
          <w:rFonts w:eastAsia="Times New Roman" w:cs="Times New Roman"/>
          <w:szCs w:val="24"/>
        </w:rPr>
        <w:t xml:space="preserve">) </w:t>
      </w:r>
      <w:r w:rsidRPr="0007310F">
        <w:rPr>
          <w:rFonts w:eastAsia="Times New Roman" w:cs="Times New Roman"/>
          <w:szCs w:val="24"/>
        </w:rPr>
        <w:t>controlling user log-in credentials and other identifiers;</w:t>
      </w:r>
    </w:p>
    <w:p w:rsidR="0099363B" w:rsidRPr="0007310F" w:rsidRDefault="0099363B" w:rsidP="00305DB3">
      <w:pPr>
        <w:spacing w:after="0" w:line="240" w:lineRule="auto"/>
        <w:ind w:left="3600"/>
        <w:jc w:val="both"/>
        <w:rPr>
          <w:rFonts w:eastAsia="Times New Roman" w:cs="Times New Roman"/>
          <w:szCs w:val="24"/>
        </w:rPr>
      </w:pPr>
    </w:p>
    <w:p w:rsidR="0099363B" w:rsidRDefault="0099363B" w:rsidP="00305DB3">
      <w:pPr>
        <w:spacing w:after="0" w:line="240" w:lineRule="auto"/>
        <w:ind w:left="3600"/>
        <w:jc w:val="both"/>
        <w:rPr>
          <w:rFonts w:eastAsia="Times New Roman" w:cs="Times New Roman"/>
          <w:szCs w:val="24"/>
        </w:rPr>
      </w:pPr>
      <w:r w:rsidRPr="0007310F">
        <w:rPr>
          <w:rFonts w:eastAsia="Times New Roman" w:cs="Times New Roman"/>
          <w:szCs w:val="24"/>
        </w:rPr>
        <w:t>(ii</w:t>
      </w:r>
      <w:r>
        <w:rPr>
          <w:rFonts w:eastAsia="Times New Roman" w:cs="Times New Roman"/>
          <w:szCs w:val="24"/>
        </w:rPr>
        <w:t xml:space="preserve">) </w:t>
      </w:r>
      <w:r w:rsidRPr="0007310F">
        <w:rPr>
          <w:rFonts w:eastAsia="Times New Roman" w:cs="Times New Roman"/>
          <w:szCs w:val="24"/>
        </w:rPr>
        <w:t xml:space="preserve">using a reasonably secure method of assigning and selecting passwords or using unique identifier technologies, which </w:t>
      </w:r>
      <w:r>
        <w:rPr>
          <w:rFonts w:eastAsia="Times New Roman" w:cs="Times New Roman"/>
          <w:szCs w:val="24"/>
        </w:rPr>
        <w:t>are authorized to</w:t>
      </w:r>
      <w:r w:rsidRPr="0007310F">
        <w:rPr>
          <w:rFonts w:eastAsia="Times New Roman" w:cs="Times New Roman"/>
          <w:szCs w:val="24"/>
        </w:rPr>
        <w:t xml:space="preserve"> include biometrics or token devices;</w:t>
      </w:r>
    </w:p>
    <w:p w:rsidR="0099363B" w:rsidRPr="0007310F" w:rsidRDefault="0099363B" w:rsidP="00305DB3">
      <w:pPr>
        <w:spacing w:after="0" w:line="240" w:lineRule="auto"/>
        <w:ind w:left="3600"/>
        <w:jc w:val="both"/>
        <w:rPr>
          <w:rFonts w:eastAsia="Times New Roman" w:cs="Times New Roman"/>
          <w:szCs w:val="24"/>
        </w:rPr>
      </w:pPr>
    </w:p>
    <w:p w:rsidR="0099363B" w:rsidRDefault="0099363B" w:rsidP="00305DB3">
      <w:pPr>
        <w:spacing w:after="0" w:line="240" w:lineRule="auto"/>
        <w:ind w:left="3600"/>
        <w:jc w:val="both"/>
        <w:rPr>
          <w:rFonts w:eastAsia="Times New Roman" w:cs="Times New Roman"/>
          <w:szCs w:val="24"/>
        </w:rPr>
      </w:pPr>
      <w:r w:rsidRPr="0007310F">
        <w:rPr>
          <w:rFonts w:eastAsia="Times New Roman" w:cs="Times New Roman"/>
          <w:szCs w:val="24"/>
        </w:rPr>
        <w:t>(iii</w:t>
      </w:r>
      <w:r>
        <w:rPr>
          <w:rFonts w:eastAsia="Times New Roman" w:cs="Times New Roman"/>
          <w:szCs w:val="24"/>
        </w:rPr>
        <w:t xml:space="preserve">) </w:t>
      </w:r>
      <w:r w:rsidRPr="0007310F">
        <w:rPr>
          <w:rFonts w:eastAsia="Times New Roman" w:cs="Times New Roman"/>
          <w:szCs w:val="24"/>
        </w:rPr>
        <w:t>controlling data security passwords to ensure that the passwords are kept in a location and format that do not compromise the security of the data the passwords protect;</w:t>
      </w:r>
    </w:p>
    <w:p w:rsidR="0099363B" w:rsidRPr="0007310F" w:rsidRDefault="0099363B" w:rsidP="00305DB3">
      <w:pPr>
        <w:spacing w:after="0" w:line="240" w:lineRule="auto"/>
        <w:ind w:left="3600"/>
        <w:jc w:val="both"/>
        <w:rPr>
          <w:rFonts w:eastAsia="Times New Roman" w:cs="Times New Roman"/>
          <w:szCs w:val="24"/>
        </w:rPr>
      </w:pPr>
    </w:p>
    <w:p w:rsidR="0099363B" w:rsidRDefault="0099363B" w:rsidP="00305DB3">
      <w:pPr>
        <w:spacing w:after="0" w:line="240" w:lineRule="auto"/>
        <w:ind w:left="3600"/>
        <w:jc w:val="both"/>
        <w:rPr>
          <w:rFonts w:eastAsia="Times New Roman" w:cs="Times New Roman"/>
          <w:szCs w:val="24"/>
        </w:rPr>
      </w:pPr>
      <w:r w:rsidRPr="0007310F">
        <w:rPr>
          <w:rFonts w:eastAsia="Times New Roman" w:cs="Times New Roman"/>
          <w:szCs w:val="24"/>
        </w:rPr>
        <w:t>(iv</w:t>
      </w:r>
      <w:r>
        <w:rPr>
          <w:rFonts w:eastAsia="Times New Roman" w:cs="Times New Roman"/>
          <w:szCs w:val="24"/>
        </w:rPr>
        <w:t xml:space="preserve">) </w:t>
      </w:r>
      <w:r w:rsidRPr="0007310F">
        <w:rPr>
          <w:rFonts w:eastAsia="Times New Roman" w:cs="Times New Roman"/>
          <w:szCs w:val="24"/>
        </w:rPr>
        <w:t>restricting access to only active users and active user accounts; and</w:t>
      </w:r>
    </w:p>
    <w:p w:rsidR="0099363B" w:rsidRPr="0007310F" w:rsidRDefault="0099363B" w:rsidP="00305DB3">
      <w:pPr>
        <w:spacing w:after="0" w:line="240" w:lineRule="auto"/>
        <w:ind w:left="3600"/>
        <w:jc w:val="both"/>
        <w:rPr>
          <w:rFonts w:eastAsia="Times New Roman" w:cs="Times New Roman"/>
          <w:szCs w:val="24"/>
        </w:rPr>
      </w:pPr>
    </w:p>
    <w:p w:rsidR="0099363B" w:rsidRDefault="0099363B" w:rsidP="00305DB3">
      <w:pPr>
        <w:spacing w:after="0" w:line="240" w:lineRule="auto"/>
        <w:ind w:left="3600"/>
        <w:jc w:val="both"/>
        <w:rPr>
          <w:rFonts w:eastAsia="Times New Roman" w:cs="Times New Roman"/>
          <w:szCs w:val="24"/>
        </w:rPr>
      </w:pPr>
      <w:r w:rsidRPr="0007310F">
        <w:rPr>
          <w:rFonts w:eastAsia="Times New Roman" w:cs="Times New Roman"/>
          <w:szCs w:val="24"/>
        </w:rPr>
        <w:t>(v</w:t>
      </w:r>
      <w:r>
        <w:rPr>
          <w:rFonts w:eastAsia="Times New Roman" w:cs="Times New Roman"/>
          <w:szCs w:val="24"/>
        </w:rPr>
        <w:t xml:space="preserve">) </w:t>
      </w:r>
      <w:r w:rsidRPr="0007310F">
        <w:rPr>
          <w:rFonts w:eastAsia="Times New Roman" w:cs="Times New Roman"/>
          <w:szCs w:val="24"/>
        </w:rPr>
        <w:t>blocking access to user credentials or identification after multiple unsuccessful attempts to gain access;</w:t>
      </w:r>
    </w:p>
    <w:p w:rsidR="0099363B" w:rsidRPr="0007310F" w:rsidRDefault="0099363B" w:rsidP="00305DB3">
      <w:pPr>
        <w:spacing w:after="0" w:line="240" w:lineRule="auto"/>
        <w:ind w:left="3600"/>
        <w:jc w:val="both"/>
        <w:rPr>
          <w:rFonts w:eastAsia="Times New Roman" w:cs="Times New Roman"/>
          <w:szCs w:val="24"/>
        </w:rPr>
      </w:pPr>
    </w:p>
    <w:p w:rsidR="0099363B" w:rsidRDefault="0099363B" w:rsidP="00305DB3">
      <w:pPr>
        <w:spacing w:after="0" w:line="240" w:lineRule="auto"/>
        <w:ind w:left="2880"/>
        <w:jc w:val="both"/>
        <w:rPr>
          <w:rFonts w:eastAsia="Times New Roman" w:cs="Times New Roman"/>
          <w:szCs w:val="24"/>
        </w:rPr>
      </w:pPr>
      <w:r w:rsidRPr="0007310F">
        <w:rPr>
          <w:rFonts w:eastAsia="Times New Roman" w:cs="Times New Roman"/>
          <w:szCs w:val="24"/>
        </w:rPr>
        <w:t>(B</w:t>
      </w:r>
      <w:r>
        <w:rPr>
          <w:rFonts w:eastAsia="Times New Roman" w:cs="Times New Roman"/>
          <w:szCs w:val="24"/>
        </w:rPr>
        <w:t xml:space="preserve">) </w:t>
      </w:r>
      <w:r w:rsidRPr="0007310F">
        <w:rPr>
          <w:rFonts w:eastAsia="Times New Roman" w:cs="Times New Roman"/>
          <w:szCs w:val="24"/>
        </w:rPr>
        <w:t>the use of secure access control measures that include:</w:t>
      </w:r>
    </w:p>
    <w:p w:rsidR="0099363B" w:rsidRPr="0007310F" w:rsidRDefault="0099363B" w:rsidP="00305DB3">
      <w:pPr>
        <w:spacing w:after="0" w:line="240" w:lineRule="auto"/>
        <w:ind w:left="2880"/>
        <w:jc w:val="both"/>
        <w:rPr>
          <w:rFonts w:eastAsia="Times New Roman" w:cs="Times New Roman"/>
          <w:szCs w:val="24"/>
        </w:rPr>
      </w:pPr>
    </w:p>
    <w:p w:rsidR="0099363B" w:rsidRPr="0007310F" w:rsidRDefault="0099363B" w:rsidP="00305DB3">
      <w:pPr>
        <w:spacing w:after="0" w:line="240" w:lineRule="auto"/>
        <w:ind w:left="3600"/>
        <w:jc w:val="both"/>
        <w:rPr>
          <w:rFonts w:eastAsia="Times New Roman" w:cs="Times New Roman"/>
          <w:szCs w:val="24"/>
        </w:rPr>
      </w:pPr>
      <w:r w:rsidRPr="0007310F">
        <w:rPr>
          <w:rFonts w:eastAsia="Times New Roman" w:cs="Times New Roman"/>
          <w:szCs w:val="24"/>
        </w:rPr>
        <w:t>(i</w:t>
      </w:r>
      <w:r>
        <w:rPr>
          <w:rFonts w:eastAsia="Times New Roman" w:cs="Times New Roman"/>
          <w:szCs w:val="24"/>
        </w:rPr>
        <w:t xml:space="preserve">) </w:t>
      </w:r>
      <w:r w:rsidRPr="0007310F">
        <w:rPr>
          <w:rFonts w:eastAsia="Times New Roman" w:cs="Times New Roman"/>
          <w:szCs w:val="24"/>
        </w:rPr>
        <w:t>restricting access to records and files containing personal data to only employees or contractors who need access to that personal data to perform the  job duties of the employees or contractors; and</w:t>
      </w:r>
    </w:p>
    <w:p w:rsidR="0099363B" w:rsidRDefault="0099363B" w:rsidP="00305DB3">
      <w:pPr>
        <w:spacing w:after="0" w:line="240" w:lineRule="auto"/>
        <w:ind w:left="3600"/>
        <w:jc w:val="both"/>
        <w:rPr>
          <w:rFonts w:eastAsia="Times New Roman" w:cs="Times New Roman"/>
          <w:szCs w:val="24"/>
        </w:rPr>
      </w:pPr>
    </w:p>
    <w:p w:rsidR="0099363B" w:rsidRDefault="0099363B" w:rsidP="00305DB3">
      <w:pPr>
        <w:spacing w:after="0" w:line="240" w:lineRule="auto"/>
        <w:ind w:left="3600"/>
        <w:jc w:val="both"/>
        <w:rPr>
          <w:rFonts w:eastAsia="Times New Roman" w:cs="Times New Roman"/>
          <w:szCs w:val="24"/>
        </w:rPr>
      </w:pPr>
      <w:r w:rsidRPr="0007310F">
        <w:rPr>
          <w:rFonts w:eastAsia="Times New Roman" w:cs="Times New Roman"/>
          <w:szCs w:val="24"/>
        </w:rPr>
        <w:t>(ii</w:t>
      </w:r>
      <w:r>
        <w:rPr>
          <w:rFonts w:eastAsia="Times New Roman" w:cs="Times New Roman"/>
          <w:szCs w:val="24"/>
        </w:rPr>
        <w:t xml:space="preserve">) </w:t>
      </w:r>
      <w:r w:rsidRPr="0007310F">
        <w:rPr>
          <w:rFonts w:eastAsia="Times New Roman" w:cs="Times New Roman"/>
          <w:szCs w:val="24"/>
        </w:rPr>
        <w:t xml:space="preserve">assigning to each employee or contractor with access to a computer containing personal data unique identification and a password, which </w:t>
      </w:r>
      <w:r>
        <w:rPr>
          <w:rFonts w:eastAsia="Times New Roman" w:cs="Times New Roman"/>
          <w:szCs w:val="24"/>
        </w:rPr>
        <w:t>is prohibited from being</w:t>
      </w:r>
      <w:r w:rsidRPr="0007310F">
        <w:rPr>
          <w:rFonts w:eastAsia="Times New Roman" w:cs="Times New Roman"/>
          <w:szCs w:val="24"/>
        </w:rPr>
        <w:t xml:space="preserve"> a vendor-supplied default password, or using another protocol reasonably designed to maintain the integrity of the security of the access controls to personal data;</w:t>
      </w:r>
    </w:p>
    <w:p w:rsidR="0099363B" w:rsidRPr="0007310F" w:rsidRDefault="0099363B" w:rsidP="00305DB3">
      <w:pPr>
        <w:spacing w:after="0" w:line="240" w:lineRule="auto"/>
        <w:ind w:left="3600"/>
        <w:jc w:val="both"/>
        <w:rPr>
          <w:rFonts w:eastAsia="Times New Roman" w:cs="Times New Roman"/>
          <w:szCs w:val="24"/>
        </w:rPr>
      </w:pPr>
    </w:p>
    <w:p w:rsidR="0099363B" w:rsidRDefault="0099363B" w:rsidP="00305DB3">
      <w:pPr>
        <w:spacing w:after="0" w:line="240" w:lineRule="auto"/>
        <w:ind w:left="2880"/>
        <w:jc w:val="both"/>
        <w:rPr>
          <w:rFonts w:eastAsia="Times New Roman" w:cs="Times New Roman"/>
          <w:szCs w:val="24"/>
        </w:rPr>
      </w:pPr>
      <w:r w:rsidRPr="0007310F">
        <w:rPr>
          <w:rFonts w:eastAsia="Times New Roman" w:cs="Times New Roman"/>
          <w:szCs w:val="24"/>
        </w:rPr>
        <w:t>(C</w:t>
      </w:r>
      <w:r>
        <w:rPr>
          <w:rFonts w:eastAsia="Times New Roman" w:cs="Times New Roman"/>
          <w:szCs w:val="24"/>
        </w:rPr>
        <w:t xml:space="preserve">) </w:t>
      </w:r>
      <w:r w:rsidRPr="0007310F">
        <w:rPr>
          <w:rFonts w:eastAsia="Times New Roman" w:cs="Times New Roman"/>
          <w:szCs w:val="24"/>
        </w:rPr>
        <w:t>encryption of:</w:t>
      </w:r>
    </w:p>
    <w:p w:rsidR="0099363B" w:rsidRPr="0007310F" w:rsidRDefault="0099363B" w:rsidP="00305DB3">
      <w:pPr>
        <w:spacing w:after="0" w:line="240" w:lineRule="auto"/>
        <w:ind w:left="2880"/>
        <w:jc w:val="both"/>
        <w:rPr>
          <w:rFonts w:eastAsia="Times New Roman" w:cs="Times New Roman"/>
          <w:szCs w:val="24"/>
        </w:rPr>
      </w:pPr>
    </w:p>
    <w:p w:rsidR="0099363B" w:rsidRDefault="0099363B" w:rsidP="00305DB3">
      <w:pPr>
        <w:spacing w:after="0" w:line="240" w:lineRule="auto"/>
        <w:ind w:left="3600"/>
        <w:jc w:val="both"/>
        <w:rPr>
          <w:rFonts w:eastAsia="Times New Roman" w:cs="Times New Roman"/>
          <w:szCs w:val="24"/>
        </w:rPr>
      </w:pPr>
      <w:r w:rsidRPr="0007310F">
        <w:rPr>
          <w:rFonts w:eastAsia="Times New Roman" w:cs="Times New Roman"/>
          <w:szCs w:val="24"/>
        </w:rPr>
        <w:t>(i</w:t>
      </w:r>
      <w:r>
        <w:rPr>
          <w:rFonts w:eastAsia="Times New Roman" w:cs="Times New Roman"/>
          <w:szCs w:val="24"/>
        </w:rPr>
        <w:t xml:space="preserve">) </w:t>
      </w:r>
      <w:r w:rsidRPr="0007310F">
        <w:rPr>
          <w:rFonts w:eastAsia="Times New Roman" w:cs="Times New Roman"/>
          <w:szCs w:val="24"/>
        </w:rPr>
        <w:t>transmitted records and files containing personal data that will travel across public networks; and</w:t>
      </w:r>
    </w:p>
    <w:p w:rsidR="0099363B" w:rsidRPr="0007310F" w:rsidRDefault="0099363B" w:rsidP="00305DB3">
      <w:pPr>
        <w:spacing w:after="0" w:line="240" w:lineRule="auto"/>
        <w:ind w:left="3600"/>
        <w:jc w:val="both"/>
        <w:rPr>
          <w:rFonts w:eastAsia="Times New Roman" w:cs="Times New Roman"/>
          <w:szCs w:val="24"/>
        </w:rPr>
      </w:pPr>
    </w:p>
    <w:p w:rsidR="0099363B" w:rsidRPr="0007310F" w:rsidRDefault="0099363B" w:rsidP="00305DB3">
      <w:pPr>
        <w:spacing w:after="0" w:line="240" w:lineRule="auto"/>
        <w:ind w:left="3600"/>
        <w:jc w:val="both"/>
        <w:rPr>
          <w:rFonts w:eastAsia="Times New Roman" w:cs="Times New Roman"/>
          <w:szCs w:val="24"/>
        </w:rPr>
      </w:pPr>
      <w:r w:rsidRPr="0007310F">
        <w:rPr>
          <w:rFonts w:eastAsia="Times New Roman" w:cs="Times New Roman"/>
          <w:szCs w:val="24"/>
        </w:rPr>
        <w:t>(ii</w:t>
      </w:r>
      <w:r>
        <w:rPr>
          <w:rFonts w:eastAsia="Times New Roman" w:cs="Times New Roman"/>
          <w:szCs w:val="24"/>
        </w:rPr>
        <w:t xml:space="preserve">) </w:t>
      </w:r>
      <w:r w:rsidRPr="0007310F">
        <w:rPr>
          <w:rFonts w:eastAsia="Times New Roman" w:cs="Times New Roman"/>
          <w:szCs w:val="24"/>
        </w:rPr>
        <w:t>data containing personal data that is transmitted wirelessly;</w:t>
      </w:r>
    </w:p>
    <w:p w:rsidR="0099363B" w:rsidRDefault="0099363B" w:rsidP="00305DB3">
      <w:pPr>
        <w:spacing w:after="0" w:line="240" w:lineRule="auto"/>
        <w:ind w:left="2880"/>
        <w:jc w:val="both"/>
        <w:rPr>
          <w:rFonts w:eastAsia="Times New Roman" w:cs="Times New Roman"/>
          <w:szCs w:val="24"/>
        </w:rPr>
      </w:pPr>
    </w:p>
    <w:p w:rsidR="0099363B" w:rsidRPr="0007310F" w:rsidRDefault="0099363B" w:rsidP="00305DB3">
      <w:pPr>
        <w:spacing w:after="0" w:line="240" w:lineRule="auto"/>
        <w:ind w:left="2880"/>
        <w:jc w:val="both"/>
        <w:rPr>
          <w:rFonts w:eastAsia="Times New Roman" w:cs="Times New Roman"/>
          <w:szCs w:val="24"/>
        </w:rPr>
      </w:pPr>
      <w:r w:rsidRPr="0007310F">
        <w:rPr>
          <w:rFonts w:eastAsia="Times New Roman" w:cs="Times New Roman"/>
          <w:szCs w:val="24"/>
        </w:rPr>
        <w:t>(D</w:t>
      </w:r>
      <w:r>
        <w:rPr>
          <w:rFonts w:eastAsia="Times New Roman" w:cs="Times New Roman"/>
          <w:szCs w:val="24"/>
        </w:rPr>
        <w:t xml:space="preserve">) </w:t>
      </w:r>
      <w:r w:rsidRPr="0007310F">
        <w:rPr>
          <w:rFonts w:eastAsia="Times New Roman" w:cs="Times New Roman"/>
          <w:szCs w:val="24"/>
        </w:rPr>
        <w:t>reasonable monitoring of systems for unauthorized use of or access to personal data;</w:t>
      </w:r>
    </w:p>
    <w:p w:rsidR="0099363B" w:rsidRDefault="0099363B" w:rsidP="00305DB3">
      <w:pPr>
        <w:spacing w:after="0" w:line="240" w:lineRule="auto"/>
        <w:ind w:left="2880"/>
        <w:jc w:val="both"/>
        <w:rPr>
          <w:rFonts w:eastAsia="Times New Roman" w:cs="Times New Roman"/>
          <w:szCs w:val="24"/>
        </w:rPr>
      </w:pPr>
    </w:p>
    <w:p w:rsidR="0099363B" w:rsidRPr="0007310F" w:rsidRDefault="0099363B" w:rsidP="00305DB3">
      <w:pPr>
        <w:spacing w:after="0" w:line="240" w:lineRule="auto"/>
        <w:ind w:left="2880"/>
        <w:jc w:val="both"/>
        <w:rPr>
          <w:rFonts w:eastAsia="Times New Roman" w:cs="Times New Roman"/>
          <w:szCs w:val="24"/>
        </w:rPr>
      </w:pPr>
      <w:r w:rsidRPr="0007310F">
        <w:rPr>
          <w:rFonts w:eastAsia="Times New Roman" w:cs="Times New Roman"/>
          <w:szCs w:val="24"/>
        </w:rPr>
        <w:t>(E</w:t>
      </w:r>
      <w:r>
        <w:rPr>
          <w:rFonts w:eastAsia="Times New Roman" w:cs="Times New Roman"/>
          <w:szCs w:val="24"/>
        </w:rPr>
        <w:t xml:space="preserve">) </w:t>
      </w:r>
      <w:r w:rsidRPr="0007310F">
        <w:rPr>
          <w:rFonts w:eastAsia="Times New Roman" w:cs="Times New Roman"/>
          <w:szCs w:val="24"/>
        </w:rPr>
        <w:t>encryption of all personal data stored on laptop computers or other portable devices;</w:t>
      </w:r>
    </w:p>
    <w:p w:rsidR="0099363B" w:rsidRDefault="0099363B" w:rsidP="00305DB3">
      <w:pPr>
        <w:spacing w:after="0" w:line="240" w:lineRule="auto"/>
        <w:ind w:left="2880"/>
        <w:jc w:val="both"/>
        <w:rPr>
          <w:rFonts w:eastAsia="Times New Roman" w:cs="Times New Roman"/>
          <w:szCs w:val="24"/>
        </w:rPr>
      </w:pPr>
    </w:p>
    <w:p w:rsidR="0099363B" w:rsidRPr="0007310F" w:rsidRDefault="0099363B" w:rsidP="00305DB3">
      <w:pPr>
        <w:spacing w:after="0" w:line="240" w:lineRule="auto"/>
        <w:ind w:left="2880"/>
        <w:jc w:val="both"/>
        <w:rPr>
          <w:rFonts w:eastAsia="Times New Roman" w:cs="Times New Roman"/>
          <w:szCs w:val="24"/>
        </w:rPr>
      </w:pPr>
      <w:r w:rsidRPr="0007310F">
        <w:rPr>
          <w:rFonts w:eastAsia="Times New Roman" w:cs="Times New Roman"/>
          <w:szCs w:val="24"/>
        </w:rPr>
        <w:t>(F</w:t>
      </w:r>
      <w:r>
        <w:rPr>
          <w:rFonts w:eastAsia="Times New Roman" w:cs="Times New Roman"/>
          <w:szCs w:val="24"/>
        </w:rPr>
        <w:t xml:space="preserve">) </w:t>
      </w:r>
      <w:r w:rsidRPr="0007310F">
        <w:rPr>
          <w:rFonts w:eastAsia="Times New Roman" w:cs="Times New Roman"/>
          <w:szCs w:val="24"/>
        </w:rPr>
        <w:t>for files containing personal data on a system that is connected to the Internet, the use of reasonably current firewall protection and operating system security patches that are reasonably designed to maintain the integrity of the personal data; and</w:t>
      </w:r>
    </w:p>
    <w:p w:rsidR="0099363B" w:rsidRDefault="0099363B" w:rsidP="00305DB3">
      <w:pPr>
        <w:spacing w:after="0" w:line="240" w:lineRule="auto"/>
        <w:ind w:left="2880"/>
        <w:jc w:val="both"/>
        <w:rPr>
          <w:rFonts w:eastAsia="Times New Roman" w:cs="Times New Roman"/>
          <w:szCs w:val="24"/>
        </w:rPr>
      </w:pPr>
    </w:p>
    <w:p w:rsidR="0099363B" w:rsidRPr="0007310F" w:rsidRDefault="0099363B" w:rsidP="00305DB3">
      <w:pPr>
        <w:spacing w:after="0" w:line="240" w:lineRule="auto"/>
        <w:ind w:left="2880"/>
        <w:jc w:val="both"/>
        <w:rPr>
          <w:rFonts w:eastAsia="Times New Roman" w:cs="Times New Roman"/>
          <w:szCs w:val="24"/>
        </w:rPr>
      </w:pPr>
      <w:r w:rsidRPr="0007310F">
        <w:rPr>
          <w:rFonts w:eastAsia="Times New Roman" w:cs="Times New Roman"/>
          <w:szCs w:val="24"/>
        </w:rPr>
        <w:t>(G</w:t>
      </w:r>
      <w:r>
        <w:rPr>
          <w:rFonts w:eastAsia="Times New Roman" w:cs="Times New Roman"/>
          <w:szCs w:val="24"/>
        </w:rPr>
        <w:t xml:space="preserve">) </w:t>
      </w:r>
      <w:r w:rsidRPr="0007310F">
        <w:rPr>
          <w:rFonts w:eastAsia="Times New Roman" w:cs="Times New Roman"/>
          <w:szCs w:val="24"/>
        </w:rPr>
        <w:t>the use of:</w:t>
      </w:r>
    </w:p>
    <w:p w:rsidR="0099363B" w:rsidRDefault="0099363B" w:rsidP="00305DB3">
      <w:pPr>
        <w:spacing w:after="0" w:line="240" w:lineRule="auto"/>
        <w:ind w:left="2880"/>
        <w:jc w:val="both"/>
        <w:rPr>
          <w:rFonts w:eastAsia="Times New Roman" w:cs="Times New Roman"/>
          <w:szCs w:val="24"/>
        </w:rPr>
      </w:pPr>
    </w:p>
    <w:p w:rsidR="0099363B" w:rsidRDefault="0099363B" w:rsidP="00305DB3">
      <w:pPr>
        <w:spacing w:after="0" w:line="240" w:lineRule="auto"/>
        <w:ind w:left="3600"/>
        <w:jc w:val="both"/>
        <w:rPr>
          <w:rFonts w:eastAsia="Times New Roman" w:cs="Times New Roman"/>
          <w:szCs w:val="24"/>
        </w:rPr>
      </w:pPr>
      <w:r w:rsidRPr="0007310F">
        <w:rPr>
          <w:rFonts w:eastAsia="Times New Roman" w:cs="Times New Roman"/>
          <w:szCs w:val="24"/>
        </w:rPr>
        <w:t>(i</w:t>
      </w:r>
      <w:r>
        <w:rPr>
          <w:rFonts w:eastAsia="Times New Roman" w:cs="Times New Roman"/>
          <w:szCs w:val="24"/>
        </w:rPr>
        <w:t xml:space="preserve">) </w:t>
      </w:r>
      <w:r w:rsidRPr="0007310F">
        <w:rPr>
          <w:rFonts w:eastAsia="Times New Roman" w:cs="Times New Roman"/>
          <w:szCs w:val="24"/>
        </w:rPr>
        <w:t xml:space="preserve">a reasonably current version of system security agent software that </w:t>
      </w:r>
      <w:r>
        <w:rPr>
          <w:rFonts w:eastAsia="Times New Roman" w:cs="Times New Roman"/>
          <w:szCs w:val="24"/>
        </w:rPr>
        <w:t>is required to</w:t>
      </w:r>
      <w:r w:rsidRPr="0007310F">
        <w:rPr>
          <w:rFonts w:eastAsia="Times New Roman" w:cs="Times New Roman"/>
          <w:szCs w:val="24"/>
        </w:rPr>
        <w:t xml:space="preserve"> include malware protection and reasonably current patches and virus definitions; or</w:t>
      </w:r>
    </w:p>
    <w:p w:rsidR="0099363B" w:rsidRPr="0007310F" w:rsidRDefault="0099363B" w:rsidP="00305DB3">
      <w:pPr>
        <w:spacing w:after="0" w:line="240" w:lineRule="auto"/>
        <w:ind w:left="3600"/>
        <w:jc w:val="both"/>
        <w:rPr>
          <w:rFonts w:eastAsia="Times New Roman" w:cs="Times New Roman"/>
          <w:szCs w:val="24"/>
        </w:rPr>
      </w:pPr>
    </w:p>
    <w:p w:rsidR="0099363B" w:rsidRDefault="0099363B" w:rsidP="00305DB3">
      <w:pPr>
        <w:spacing w:after="0" w:line="240" w:lineRule="auto"/>
        <w:ind w:left="3600"/>
        <w:jc w:val="both"/>
        <w:rPr>
          <w:rFonts w:eastAsia="Times New Roman" w:cs="Times New Roman"/>
          <w:szCs w:val="24"/>
        </w:rPr>
      </w:pPr>
      <w:r w:rsidRPr="0007310F">
        <w:rPr>
          <w:rFonts w:eastAsia="Times New Roman" w:cs="Times New Roman"/>
          <w:szCs w:val="24"/>
        </w:rPr>
        <w:t>(ii</w:t>
      </w:r>
      <w:r>
        <w:rPr>
          <w:rFonts w:eastAsia="Times New Roman" w:cs="Times New Roman"/>
          <w:szCs w:val="24"/>
        </w:rPr>
        <w:t xml:space="preserve">) </w:t>
      </w:r>
      <w:r w:rsidRPr="0007310F">
        <w:rPr>
          <w:rFonts w:eastAsia="Times New Roman" w:cs="Times New Roman"/>
          <w:szCs w:val="24"/>
        </w:rPr>
        <w:t>a version of system security agent software that is supportable with current patches and virus definitions and is set to receive the most current security updates on a regular basis.</w:t>
      </w:r>
    </w:p>
    <w:p w:rsidR="0099363B" w:rsidRPr="0007310F" w:rsidRDefault="0099363B" w:rsidP="00305DB3">
      <w:pPr>
        <w:spacing w:after="0" w:line="240" w:lineRule="auto"/>
        <w:ind w:left="3600"/>
        <w:jc w:val="both"/>
        <w:rPr>
          <w:rFonts w:eastAsia="Times New Roman" w:cs="Times New Roman"/>
          <w:szCs w:val="24"/>
        </w:rPr>
      </w:pPr>
    </w:p>
    <w:p w:rsidR="0099363B" w:rsidRDefault="0099363B" w:rsidP="00305DB3">
      <w:pPr>
        <w:spacing w:after="0" w:line="240" w:lineRule="auto"/>
        <w:ind w:left="720"/>
        <w:jc w:val="both"/>
        <w:rPr>
          <w:rFonts w:eastAsia="Times New Roman" w:cs="Times New Roman"/>
          <w:szCs w:val="24"/>
        </w:rPr>
      </w:pPr>
      <w:r w:rsidRPr="0007310F">
        <w:rPr>
          <w:rFonts w:eastAsia="Times New Roman" w:cs="Times New Roman"/>
          <w:szCs w:val="24"/>
        </w:rPr>
        <w:t>Sec. 509.008</w:t>
      </w:r>
      <w:r>
        <w:rPr>
          <w:rFonts w:eastAsia="Times New Roman" w:cs="Times New Roman"/>
          <w:szCs w:val="24"/>
        </w:rPr>
        <w:t xml:space="preserve">. </w:t>
      </w:r>
      <w:r w:rsidRPr="0007310F">
        <w:rPr>
          <w:rFonts w:eastAsia="Times New Roman" w:cs="Times New Roman"/>
          <w:szCs w:val="24"/>
        </w:rPr>
        <w:t>CIVIL PENALTY</w:t>
      </w:r>
      <w:r>
        <w:rPr>
          <w:rFonts w:eastAsia="Times New Roman" w:cs="Times New Roman"/>
          <w:szCs w:val="24"/>
        </w:rPr>
        <w:t xml:space="preserve">. </w:t>
      </w:r>
      <w:r w:rsidRPr="0007310F">
        <w:rPr>
          <w:rFonts w:eastAsia="Times New Roman" w:cs="Times New Roman"/>
          <w:szCs w:val="24"/>
        </w:rPr>
        <w:t>(a</w:t>
      </w:r>
      <w:r>
        <w:rPr>
          <w:rFonts w:eastAsia="Times New Roman" w:cs="Times New Roman"/>
          <w:szCs w:val="24"/>
        </w:rPr>
        <w:t>) Provides that a</w:t>
      </w:r>
      <w:r w:rsidRPr="0007310F">
        <w:rPr>
          <w:rFonts w:eastAsia="Times New Roman" w:cs="Times New Roman"/>
          <w:szCs w:val="24"/>
        </w:rPr>
        <w:t xml:space="preserve"> data broker that violates Section 509.004 or 509.005 is liable to this state for a civil penalty as prescribed by this section.</w:t>
      </w:r>
    </w:p>
    <w:p w:rsidR="0099363B" w:rsidRPr="0007310F" w:rsidRDefault="0099363B" w:rsidP="00305DB3">
      <w:pPr>
        <w:spacing w:after="0" w:line="240" w:lineRule="auto"/>
        <w:ind w:left="720"/>
        <w:jc w:val="both"/>
        <w:rPr>
          <w:rFonts w:eastAsia="Times New Roman" w:cs="Times New Roman"/>
          <w:szCs w:val="24"/>
        </w:rPr>
      </w:pPr>
    </w:p>
    <w:p w:rsidR="0099363B" w:rsidRDefault="0099363B" w:rsidP="00305DB3">
      <w:pPr>
        <w:spacing w:after="0" w:line="240" w:lineRule="auto"/>
        <w:ind w:left="1440"/>
        <w:jc w:val="both"/>
        <w:rPr>
          <w:rFonts w:eastAsia="Times New Roman" w:cs="Times New Roman"/>
          <w:szCs w:val="24"/>
        </w:rPr>
      </w:pPr>
      <w:r w:rsidRPr="0007310F">
        <w:rPr>
          <w:rFonts w:eastAsia="Times New Roman" w:cs="Times New Roman"/>
          <w:szCs w:val="24"/>
        </w:rPr>
        <w:t>(b</w:t>
      </w:r>
      <w:r>
        <w:rPr>
          <w:rFonts w:eastAsia="Times New Roman" w:cs="Times New Roman"/>
          <w:szCs w:val="24"/>
        </w:rPr>
        <w:t>) Provides that a</w:t>
      </w:r>
      <w:r w:rsidRPr="0007310F">
        <w:rPr>
          <w:rFonts w:eastAsia="Times New Roman" w:cs="Times New Roman"/>
          <w:szCs w:val="24"/>
        </w:rPr>
        <w:t xml:space="preserve"> civil penalty imposed against a data broker under this section:</w:t>
      </w:r>
    </w:p>
    <w:p w:rsidR="0099363B" w:rsidRPr="0007310F" w:rsidRDefault="0099363B" w:rsidP="00305DB3">
      <w:pPr>
        <w:spacing w:after="0" w:line="240" w:lineRule="auto"/>
        <w:ind w:left="144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(1</w:t>
      </w:r>
      <w:r>
        <w:rPr>
          <w:rFonts w:eastAsia="Times New Roman" w:cs="Times New Roman"/>
          <w:szCs w:val="24"/>
        </w:rPr>
        <w:t xml:space="preserve">) </w:t>
      </w:r>
      <w:r w:rsidRPr="0007310F">
        <w:rPr>
          <w:rFonts w:eastAsia="Times New Roman" w:cs="Times New Roman"/>
          <w:szCs w:val="24"/>
        </w:rPr>
        <w:t xml:space="preserve">subject to Subdivision (2), </w:t>
      </w:r>
      <w:r>
        <w:rPr>
          <w:rFonts w:eastAsia="Times New Roman" w:cs="Times New Roman"/>
          <w:szCs w:val="24"/>
        </w:rPr>
        <w:t>is prohibited from being</w:t>
      </w:r>
      <w:r w:rsidRPr="0007310F">
        <w:rPr>
          <w:rFonts w:eastAsia="Times New Roman" w:cs="Times New Roman"/>
          <w:szCs w:val="24"/>
        </w:rPr>
        <w:t xml:space="preserve"> in an amount less than the total of:</w:t>
      </w:r>
    </w:p>
    <w:p w:rsidR="0099363B" w:rsidRPr="0007310F" w:rsidRDefault="0099363B" w:rsidP="00305DB3">
      <w:pPr>
        <w:spacing w:after="0" w:line="240" w:lineRule="auto"/>
        <w:ind w:left="1440"/>
        <w:jc w:val="both"/>
        <w:rPr>
          <w:rFonts w:eastAsia="Times New Roman" w:cs="Times New Roman"/>
          <w:szCs w:val="24"/>
        </w:rPr>
      </w:pPr>
    </w:p>
    <w:p w:rsidR="0099363B" w:rsidRDefault="0099363B" w:rsidP="00305DB3">
      <w:pPr>
        <w:spacing w:after="0" w:line="240" w:lineRule="auto"/>
        <w:ind w:left="2880"/>
        <w:jc w:val="both"/>
        <w:rPr>
          <w:rFonts w:eastAsia="Times New Roman" w:cs="Times New Roman"/>
          <w:szCs w:val="24"/>
        </w:rPr>
      </w:pPr>
      <w:r w:rsidRPr="0007310F">
        <w:rPr>
          <w:rFonts w:eastAsia="Times New Roman" w:cs="Times New Roman"/>
          <w:szCs w:val="24"/>
        </w:rPr>
        <w:t>(A</w:t>
      </w:r>
      <w:r>
        <w:rPr>
          <w:rFonts w:eastAsia="Times New Roman" w:cs="Times New Roman"/>
          <w:szCs w:val="24"/>
        </w:rPr>
        <w:t xml:space="preserve">) </w:t>
      </w:r>
      <w:r w:rsidRPr="0007310F">
        <w:rPr>
          <w:rFonts w:eastAsia="Times New Roman" w:cs="Times New Roman"/>
          <w:szCs w:val="24"/>
        </w:rPr>
        <w:t>$100 for each day the entity is in violation of Section 509.004 or 509.005; and</w:t>
      </w:r>
    </w:p>
    <w:p w:rsidR="0099363B" w:rsidRPr="0007310F" w:rsidRDefault="0099363B" w:rsidP="00305DB3">
      <w:pPr>
        <w:spacing w:after="0" w:line="240" w:lineRule="auto"/>
        <w:ind w:left="1440"/>
        <w:jc w:val="both"/>
        <w:rPr>
          <w:rFonts w:eastAsia="Times New Roman" w:cs="Times New Roman"/>
          <w:szCs w:val="24"/>
        </w:rPr>
      </w:pPr>
    </w:p>
    <w:p w:rsidR="0099363B" w:rsidRDefault="0099363B" w:rsidP="00305DB3">
      <w:pPr>
        <w:spacing w:after="0" w:line="240" w:lineRule="auto"/>
        <w:ind w:left="2880"/>
        <w:jc w:val="both"/>
        <w:rPr>
          <w:rFonts w:eastAsia="Times New Roman" w:cs="Times New Roman"/>
          <w:szCs w:val="24"/>
        </w:rPr>
      </w:pPr>
      <w:r w:rsidRPr="0007310F">
        <w:rPr>
          <w:rFonts w:eastAsia="Times New Roman" w:cs="Times New Roman"/>
          <w:szCs w:val="24"/>
        </w:rPr>
        <w:t>(B</w:t>
      </w:r>
      <w:r>
        <w:rPr>
          <w:rFonts w:eastAsia="Times New Roman" w:cs="Times New Roman"/>
          <w:szCs w:val="24"/>
        </w:rPr>
        <w:t xml:space="preserve">) </w:t>
      </w:r>
      <w:r w:rsidRPr="0007310F">
        <w:rPr>
          <w:rFonts w:eastAsia="Times New Roman" w:cs="Times New Roman"/>
          <w:szCs w:val="24"/>
        </w:rPr>
        <w:t>the amount of unpaid registration fees for each year the entity failed to register in violation of Section 509.005; and</w:t>
      </w:r>
    </w:p>
    <w:p w:rsidR="0099363B" w:rsidRPr="0007310F" w:rsidRDefault="0099363B" w:rsidP="00305DB3">
      <w:pPr>
        <w:spacing w:after="0" w:line="240" w:lineRule="auto"/>
        <w:ind w:left="1440"/>
        <w:jc w:val="both"/>
        <w:rPr>
          <w:rFonts w:eastAsia="Times New Roman" w:cs="Times New Roman"/>
          <w:szCs w:val="24"/>
        </w:rPr>
      </w:pPr>
    </w:p>
    <w:p w:rsidR="0099363B" w:rsidRDefault="0099363B" w:rsidP="00305DB3">
      <w:pPr>
        <w:spacing w:after="0" w:line="240" w:lineRule="auto"/>
        <w:ind w:left="2160"/>
        <w:jc w:val="both"/>
        <w:rPr>
          <w:rFonts w:eastAsia="Times New Roman" w:cs="Times New Roman"/>
          <w:szCs w:val="24"/>
        </w:rPr>
      </w:pPr>
      <w:r w:rsidRPr="0007310F">
        <w:rPr>
          <w:rFonts w:eastAsia="Times New Roman" w:cs="Times New Roman"/>
          <w:szCs w:val="24"/>
        </w:rPr>
        <w:t>(2</w:t>
      </w:r>
      <w:r>
        <w:rPr>
          <w:rFonts w:eastAsia="Times New Roman" w:cs="Times New Roman"/>
          <w:szCs w:val="24"/>
        </w:rPr>
        <w:t>) is prohibited from exceeding</w:t>
      </w:r>
      <w:r w:rsidRPr="0007310F">
        <w:rPr>
          <w:rFonts w:eastAsia="Times New Roman" w:cs="Times New Roman"/>
          <w:szCs w:val="24"/>
        </w:rPr>
        <w:t xml:space="preserve"> $10,000 assessed against the same data broker in a 12-month period.</w:t>
      </w:r>
    </w:p>
    <w:p w:rsidR="0099363B" w:rsidRPr="0007310F" w:rsidRDefault="0099363B" w:rsidP="00305DB3">
      <w:pPr>
        <w:spacing w:after="0" w:line="240" w:lineRule="auto"/>
        <w:ind w:left="1440"/>
        <w:jc w:val="both"/>
        <w:rPr>
          <w:rFonts w:eastAsia="Times New Roman" w:cs="Times New Roman"/>
          <w:szCs w:val="24"/>
        </w:rPr>
      </w:pPr>
    </w:p>
    <w:p w:rsidR="0099363B" w:rsidRDefault="0099363B" w:rsidP="00305DB3">
      <w:pPr>
        <w:spacing w:after="0" w:line="240" w:lineRule="auto"/>
        <w:ind w:left="1440"/>
        <w:jc w:val="both"/>
        <w:rPr>
          <w:rFonts w:eastAsia="Times New Roman" w:cs="Times New Roman"/>
          <w:szCs w:val="24"/>
        </w:rPr>
      </w:pPr>
      <w:r w:rsidRPr="0007310F">
        <w:rPr>
          <w:rFonts w:eastAsia="Times New Roman" w:cs="Times New Roman"/>
          <w:szCs w:val="24"/>
        </w:rPr>
        <w:t>(c</w:t>
      </w:r>
      <w:r>
        <w:rPr>
          <w:rFonts w:eastAsia="Times New Roman" w:cs="Times New Roman"/>
          <w:szCs w:val="24"/>
        </w:rPr>
        <w:t>) Authorizes the</w:t>
      </w:r>
      <w:r w:rsidRPr="0007310F">
        <w:rPr>
          <w:rFonts w:eastAsia="Times New Roman" w:cs="Times New Roman"/>
          <w:szCs w:val="24"/>
        </w:rPr>
        <w:t xml:space="preserve"> attorney general </w:t>
      </w:r>
      <w:r>
        <w:rPr>
          <w:rFonts w:eastAsia="Times New Roman" w:cs="Times New Roman"/>
          <w:szCs w:val="24"/>
        </w:rPr>
        <w:t>to</w:t>
      </w:r>
      <w:r w:rsidRPr="0007310F">
        <w:rPr>
          <w:rFonts w:eastAsia="Times New Roman" w:cs="Times New Roman"/>
          <w:szCs w:val="24"/>
        </w:rPr>
        <w:t xml:space="preserve"> bring an action to recover a civil penalty imposed under this section</w:t>
      </w:r>
      <w:r>
        <w:rPr>
          <w:rFonts w:eastAsia="Times New Roman" w:cs="Times New Roman"/>
          <w:szCs w:val="24"/>
        </w:rPr>
        <w:t>. Authorizes the</w:t>
      </w:r>
      <w:r w:rsidRPr="0007310F">
        <w:rPr>
          <w:rFonts w:eastAsia="Times New Roman" w:cs="Times New Roman"/>
          <w:szCs w:val="24"/>
        </w:rPr>
        <w:t xml:space="preserve"> attorney general </w:t>
      </w:r>
      <w:r>
        <w:rPr>
          <w:rFonts w:eastAsia="Times New Roman" w:cs="Times New Roman"/>
          <w:szCs w:val="24"/>
        </w:rPr>
        <w:t>to</w:t>
      </w:r>
      <w:r w:rsidRPr="0007310F">
        <w:rPr>
          <w:rFonts w:eastAsia="Times New Roman" w:cs="Times New Roman"/>
          <w:szCs w:val="24"/>
        </w:rPr>
        <w:t xml:space="preserve"> recover reasonable attorney's fees and court costs incurred in bringing the action.</w:t>
      </w:r>
    </w:p>
    <w:p w:rsidR="0099363B" w:rsidRPr="0007310F" w:rsidRDefault="0099363B" w:rsidP="00305DB3">
      <w:pPr>
        <w:spacing w:after="0" w:line="240" w:lineRule="auto"/>
        <w:ind w:left="720"/>
        <w:jc w:val="both"/>
        <w:rPr>
          <w:rFonts w:eastAsia="Times New Roman" w:cs="Times New Roman"/>
          <w:szCs w:val="24"/>
        </w:rPr>
      </w:pPr>
    </w:p>
    <w:p w:rsidR="0099363B" w:rsidRDefault="0099363B" w:rsidP="00305DB3">
      <w:pPr>
        <w:spacing w:after="0" w:line="240" w:lineRule="auto"/>
        <w:ind w:left="720"/>
        <w:jc w:val="both"/>
        <w:rPr>
          <w:rFonts w:eastAsia="Times New Roman" w:cs="Times New Roman"/>
          <w:szCs w:val="24"/>
        </w:rPr>
      </w:pPr>
      <w:r w:rsidRPr="0007310F">
        <w:rPr>
          <w:rFonts w:eastAsia="Times New Roman" w:cs="Times New Roman"/>
          <w:szCs w:val="24"/>
        </w:rPr>
        <w:t>Sec. 509.009</w:t>
      </w:r>
      <w:r>
        <w:rPr>
          <w:rFonts w:eastAsia="Times New Roman" w:cs="Times New Roman"/>
          <w:szCs w:val="24"/>
        </w:rPr>
        <w:t xml:space="preserve">. </w:t>
      </w:r>
      <w:r w:rsidRPr="0007310F">
        <w:rPr>
          <w:rFonts w:eastAsia="Times New Roman" w:cs="Times New Roman"/>
          <w:szCs w:val="24"/>
        </w:rPr>
        <w:t>DECEPTIVE TRADE PRACTICE</w:t>
      </w:r>
      <w:r>
        <w:rPr>
          <w:rFonts w:eastAsia="Times New Roman" w:cs="Times New Roman"/>
          <w:szCs w:val="24"/>
        </w:rPr>
        <w:t>. Provides that a</w:t>
      </w:r>
      <w:r w:rsidRPr="0007310F">
        <w:rPr>
          <w:rFonts w:eastAsia="Times New Roman" w:cs="Times New Roman"/>
          <w:szCs w:val="24"/>
        </w:rPr>
        <w:t xml:space="preserve"> violation of Section 509.007 by a data broker constitutes a deceptive trade practice in addition to the practices described by Subchapter E</w:t>
      </w:r>
      <w:r>
        <w:rPr>
          <w:rFonts w:eastAsia="Times New Roman" w:cs="Times New Roman"/>
          <w:szCs w:val="24"/>
        </w:rPr>
        <w:t xml:space="preserve"> (Deceptive Trade Practices and Consumer Protection)</w:t>
      </w:r>
      <w:r w:rsidRPr="0007310F">
        <w:rPr>
          <w:rFonts w:eastAsia="Times New Roman" w:cs="Times New Roman"/>
          <w:szCs w:val="24"/>
        </w:rPr>
        <w:t>, Chapter 17, and is actionable under that subchapter.</w:t>
      </w:r>
    </w:p>
    <w:p w:rsidR="0099363B" w:rsidRPr="0007310F" w:rsidRDefault="0099363B" w:rsidP="00305DB3">
      <w:pPr>
        <w:spacing w:after="0" w:line="240" w:lineRule="auto"/>
        <w:jc w:val="both"/>
        <w:rPr>
          <w:rFonts w:eastAsia="Times New Roman" w:cs="Times New Roman"/>
          <w:szCs w:val="24"/>
        </w:rPr>
      </w:pPr>
    </w:p>
    <w:p w:rsidR="0099363B" w:rsidRDefault="0099363B" w:rsidP="00305DB3">
      <w:pPr>
        <w:spacing w:after="0" w:line="240" w:lineRule="auto"/>
        <w:ind w:left="720"/>
        <w:jc w:val="both"/>
        <w:rPr>
          <w:rFonts w:eastAsia="Times New Roman" w:cs="Times New Roman"/>
          <w:szCs w:val="24"/>
        </w:rPr>
      </w:pPr>
      <w:r w:rsidRPr="0007310F">
        <w:rPr>
          <w:rFonts w:eastAsia="Times New Roman" w:cs="Times New Roman"/>
          <w:szCs w:val="24"/>
        </w:rPr>
        <w:t>Sec. 509.010</w:t>
      </w:r>
      <w:r>
        <w:rPr>
          <w:rFonts w:eastAsia="Times New Roman" w:cs="Times New Roman"/>
          <w:szCs w:val="24"/>
        </w:rPr>
        <w:t xml:space="preserve">. </w:t>
      </w:r>
      <w:r w:rsidRPr="0007310F">
        <w:rPr>
          <w:rFonts w:eastAsia="Times New Roman" w:cs="Times New Roman"/>
          <w:szCs w:val="24"/>
        </w:rPr>
        <w:t>RULES</w:t>
      </w:r>
      <w:r>
        <w:rPr>
          <w:rFonts w:eastAsia="Times New Roman" w:cs="Times New Roman"/>
          <w:szCs w:val="24"/>
        </w:rPr>
        <w:t>. Requires SOS to</w:t>
      </w:r>
      <w:r w:rsidRPr="0007310F">
        <w:rPr>
          <w:rFonts w:eastAsia="Times New Roman" w:cs="Times New Roman"/>
          <w:szCs w:val="24"/>
        </w:rPr>
        <w:t xml:space="preserve"> adopt rules as necessary to implement this chapter.</w:t>
      </w:r>
    </w:p>
    <w:p w:rsidR="0099363B" w:rsidRPr="0007310F" w:rsidRDefault="0099363B" w:rsidP="00305DB3">
      <w:pPr>
        <w:spacing w:after="0" w:line="240" w:lineRule="auto"/>
        <w:jc w:val="both"/>
        <w:rPr>
          <w:rFonts w:eastAsia="Times New Roman" w:cs="Times New Roman"/>
          <w:szCs w:val="24"/>
        </w:rPr>
      </w:pPr>
    </w:p>
    <w:p w:rsidR="0099363B" w:rsidRDefault="0099363B" w:rsidP="00305DB3">
      <w:pPr>
        <w:spacing w:after="0" w:line="240" w:lineRule="auto"/>
        <w:jc w:val="both"/>
        <w:rPr>
          <w:rFonts w:eastAsia="Times New Roman" w:cs="Times New Roman"/>
          <w:szCs w:val="24"/>
        </w:rPr>
      </w:pPr>
      <w:r w:rsidRPr="0007310F">
        <w:rPr>
          <w:rFonts w:eastAsia="Times New Roman" w:cs="Times New Roman"/>
          <w:szCs w:val="24"/>
        </w:rPr>
        <w:t>SECTION 2</w:t>
      </w:r>
      <w:r>
        <w:rPr>
          <w:rFonts w:eastAsia="Times New Roman" w:cs="Times New Roman"/>
          <w:szCs w:val="24"/>
        </w:rPr>
        <w:t>. Requires SOS, n</w:t>
      </w:r>
      <w:r w:rsidRPr="0007310F">
        <w:rPr>
          <w:rFonts w:eastAsia="Times New Roman" w:cs="Times New Roman"/>
          <w:szCs w:val="24"/>
        </w:rPr>
        <w:t xml:space="preserve">ot later than December 1, 2023, </w:t>
      </w:r>
      <w:r>
        <w:rPr>
          <w:rFonts w:eastAsia="Times New Roman" w:cs="Times New Roman"/>
          <w:szCs w:val="24"/>
        </w:rPr>
        <w:t xml:space="preserve">to </w:t>
      </w:r>
      <w:r w:rsidRPr="0007310F">
        <w:rPr>
          <w:rFonts w:eastAsia="Times New Roman" w:cs="Times New Roman"/>
          <w:szCs w:val="24"/>
        </w:rPr>
        <w:t xml:space="preserve">adopt rules necessary to facilitate registration by a data broker under Section 509.005, Business </w:t>
      </w:r>
      <w:r>
        <w:rPr>
          <w:rFonts w:eastAsia="Times New Roman" w:cs="Times New Roman"/>
          <w:szCs w:val="24"/>
        </w:rPr>
        <w:t>and</w:t>
      </w:r>
      <w:r w:rsidRPr="0007310F">
        <w:rPr>
          <w:rFonts w:eastAsia="Times New Roman" w:cs="Times New Roman"/>
          <w:szCs w:val="24"/>
        </w:rPr>
        <w:t xml:space="preserve"> Commerce Code, as added by this Act, including by incorporating into the rules adequate time for a data broker to comply with Chapter 509, Business </w:t>
      </w:r>
      <w:r>
        <w:rPr>
          <w:rFonts w:eastAsia="Times New Roman" w:cs="Times New Roman"/>
          <w:szCs w:val="24"/>
        </w:rPr>
        <w:t>and</w:t>
      </w:r>
      <w:r w:rsidRPr="0007310F">
        <w:rPr>
          <w:rFonts w:eastAsia="Times New Roman" w:cs="Times New Roman"/>
          <w:szCs w:val="24"/>
        </w:rPr>
        <w:t xml:space="preserve"> Commerce Code, as added by this Act, following the adoption of the rules.</w:t>
      </w:r>
    </w:p>
    <w:p w:rsidR="0099363B" w:rsidRPr="0007310F" w:rsidRDefault="0099363B" w:rsidP="00305DB3">
      <w:pPr>
        <w:spacing w:after="0" w:line="240" w:lineRule="auto"/>
        <w:jc w:val="both"/>
        <w:rPr>
          <w:rFonts w:eastAsia="Times New Roman" w:cs="Times New Roman"/>
          <w:szCs w:val="24"/>
        </w:rPr>
      </w:pPr>
    </w:p>
    <w:p w:rsidR="0099363B" w:rsidRDefault="0099363B" w:rsidP="00305DB3">
      <w:pPr>
        <w:spacing w:after="0" w:line="240" w:lineRule="auto"/>
        <w:jc w:val="both"/>
        <w:rPr>
          <w:rFonts w:eastAsia="Times New Roman" w:cs="Times New Roman"/>
          <w:szCs w:val="24"/>
        </w:rPr>
      </w:pPr>
      <w:r w:rsidRPr="0007310F">
        <w:rPr>
          <w:rFonts w:eastAsia="Times New Roman" w:cs="Times New Roman"/>
          <w:szCs w:val="24"/>
        </w:rPr>
        <w:t>SECTION 3</w:t>
      </w:r>
      <w:r>
        <w:rPr>
          <w:rFonts w:eastAsia="Times New Roman" w:cs="Times New Roman"/>
          <w:szCs w:val="24"/>
        </w:rPr>
        <w:t xml:space="preserve">. Makes application of </w:t>
      </w:r>
      <w:r w:rsidRPr="0007310F">
        <w:rPr>
          <w:rFonts w:eastAsia="Times New Roman" w:cs="Times New Roman"/>
          <w:szCs w:val="24"/>
        </w:rPr>
        <w:t xml:space="preserve">Chapter 509, Business </w:t>
      </w:r>
      <w:r>
        <w:rPr>
          <w:rFonts w:eastAsia="Times New Roman" w:cs="Times New Roman"/>
          <w:szCs w:val="24"/>
        </w:rPr>
        <w:t>and</w:t>
      </w:r>
      <w:r w:rsidRPr="0007310F">
        <w:rPr>
          <w:rFonts w:eastAsia="Times New Roman" w:cs="Times New Roman"/>
          <w:szCs w:val="24"/>
        </w:rPr>
        <w:t xml:space="preserve"> Commerce Code, as added by this Act, </w:t>
      </w:r>
      <w:r>
        <w:rPr>
          <w:rFonts w:eastAsia="Times New Roman" w:cs="Times New Roman"/>
          <w:szCs w:val="24"/>
        </w:rPr>
        <w:t xml:space="preserve">prospective to </w:t>
      </w:r>
      <w:r w:rsidRPr="0007310F">
        <w:rPr>
          <w:rFonts w:eastAsia="Times New Roman" w:cs="Times New Roman"/>
          <w:szCs w:val="24"/>
        </w:rPr>
        <w:t>December 1, 2023.</w:t>
      </w:r>
    </w:p>
    <w:p w:rsidR="0099363B" w:rsidRPr="0007310F" w:rsidRDefault="0099363B" w:rsidP="00305DB3">
      <w:pPr>
        <w:spacing w:after="0" w:line="240" w:lineRule="auto"/>
        <w:jc w:val="both"/>
        <w:rPr>
          <w:rFonts w:eastAsia="Times New Roman" w:cs="Times New Roman"/>
          <w:szCs w:val="24"/>
        </w:rPr>
      </w:pPr>
    </w:p>
    <w:p w:rsidR="0099363B" w:rsidRPr="00C8671F" w:rsidRDefault="0099363B" w:rsidP="00305DB3">
      <w:pPr>
        <w:spacing w:after="0" w:line="240" w:lineRule="auto"/>
        <w:jc w:val="both"/>
        <w:rPr>
          <w:rFonts w:eastAsia="Times New Roman" w:cs="Times New Roman"/>
          <w:szCs w:val="24"/>
        </w:rPr>
      </w:pPr>
      <w:r w:rsidRPr="0007310F">
        <w:rPr>
          <w:rFonts w:eastAsia="Times New Roman" w:cs="Times New Roman"/>
          <w:szCs w:val="24"/>
        </w:rPr>
        <w:t>SECTION 4</w:t>
      </w:r>
      <w:r>
        <w:rPr>
          <w:rFonts w:eastAsia="Times New Roman" w:cs="Times New Roman"/>
          <w:szCs w:val="24"/>
        </w:rPr>
        <w:t>. Effective date: September 1, 2023</w:t>
      </w:r>
      <w:r w:rsidRPr="0007310F">
        <w:rPr>
          <w:rFonts w:eastAsia="Times New Roman" w:cs="Times New Roman"/>
          <w:szCs w:val="24"/>
        </w:rPr>
        <w:t>.</w:t>
      </w:r>
    </w:p>
    <w:sectPr w:rsidR="0099363B"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1C6B" w:rsidRDefault="00711C6B" w:rsidP="000F1DF9">
      <w:pPr>
        <w:spacing w:after="0" w:line="240" w:lineRule="auto"/>
      </w:pPr>
      <w:r>
        <w:separator/>
      </w:r>
    </w:p>
  </w:endnote>
  <w:endnote w:type="continuationSeparator" w:id="0">
    <w:p w:rsidR="00711C6B" w:rsidRDefault="00711C6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11C6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9363B">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9363B">
                <w:rPr>
                  <w:sz w:val="20"/>
                  <w:szCs w:val="20"/>
                </w:rPr>
                <w:t>S.B. 2105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9363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11C6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1C6B" w:rsidRDefault="00711C6B" w:rsidP="000F1DF9">
      <w:pPr>
        <w:spacing w:after="0" w:line="240" w:lineRule="auto"/>
      </w:pPr>
      <w:r>
        <w:separator/>
      </w:r>
    </w:p>
  </w:footnote>
  <w:footnote w:type="continuationSeparator" w:id="0">
    <w:p w:rsidR="00711C6B" w:rsidRDefault="00711C6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820"/>
    <w:multiLevelType w:val="multilevel"/>
    <w:tmpl w:val="B920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E7F0B"/>
    <w:multiLevelType w:val="multilevel"/>
    <w:tmpl w:val="4BB0EF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E1ADC"/>
    <w:multiLevelType w:val="multilevel"/>
    <w:tmpl w:val="30E09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51D9C"/>
    <w:multiLevelType w:val="multilevel"/>
    <w:tmpl w:val="2F3A4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D3B9B"/>
    <w:multiLevelType w:val="multilevel"/>
    <w:tmpl w:val="E9447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10AF5"/>
    <w:multiLevelType w:val="multilevel"/>
    <w:tmpl w:val="197E56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551BD"/>
    <w:multiLevelType w:val="multilevel"/>
    <w:tmpl w:val="EA80D8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16CAA"/>
    <w:multiLevelType w:val="multilevel"/>
    <w:tmpl w:val="0AA0D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A779F"/>
    <w:multiLevelType w:val="multilevel"/>
    <w:tmpl w:val="E70AE9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FF4C2E"/>
    <w:multiLevelType w:val="multilevel"/>
    <w:tmpl w:val="83D04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34A04"/>
    <w:multiLevelType w:val="multilevel"/>
    <w:tmpl w:val="8736A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8F0FD2"/>
    <w:multiLevelType w:val="multilevel"/>
    <w:tmpl w:val="278C7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E718EC"/>
    <w:multiLevelType w:val="multilevel"/>
    <w:tmpl w:val="A45866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7617EA"/>
    <w:multiLevelType w:val="multilevel"/>
    <w:tmpl w:val="53E02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1E2F1D"/>
    <w:multiLevelType w:val="multilevel"/>
    <w:tmpl w:val="2EF02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4A5237"/>
    <w:multiLevelType w:val="multilevel"/>
    <w:tmpl w:val="A9C09E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F64067"/>
    <w:multiLevelType w:val="multilevel"/>
    <w:tmpl w:val="D7A2F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773128"/>
    <w:multiLevelType w:val="multilevel"/>
    <w:tmpl w:val="306ACD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BA06D3"/>
    <w:multiLevelType w:val="multilevel"/>
    <w:tmpl w:val="017EB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6072D9"/>
    <w:multiLevelType w:val="multilevel"/>
    <w:tmpl w:val="787E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A3158D"/>
    <w:multiLevelType w:val="multilevel"/>
    <w:tmpl w:val="DE04D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7F7E46"/>
    <w:multiLevelType w:val="multilevel"/>
    <w:tmpl w:val="2D1E4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4A6AF1"/>
    <w:multiLevelType w:val="multilevel"/>
    <w:tmpl w:val="D3B0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6A5D15"/>
    <w:multiLevelType w:val="multilevel"/>
    <w:tmpl w:val="51405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A12AB9"/>
    <w:multiLevelType w:val="multilevel"/>
    <w:tmpl w:val="49B06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1647DB"/>
    <w:multiLevelType w:val="multilevel"/>
    <w:tmpl w:val="A2922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00329B"/>
    <w:multiLevelType w:val="multilevel"/>
    <w:tmpl w:val="38EE7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EB7A3A"/>
    <w:multiLevelType w:val="multilevel"/>
    <w:tmpl w:val="B8145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68114A"/>
    <w:multiLevelType w:val="multilevel"/>
    <w:tmpl w:val="CFE07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82670F"/>
    <w:multiLevelType w:val="multilevel"/>
    <w:tmpl w:val="00E2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AE6D38"/>
    <w:multiLevelType w:val="multilevel"/>
    <w:tmpl w:val="A6664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E24D6A"/>
    <w:multiLevelType w:val="multilevel"/>
    <w:tmpl w:val="1E6E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EA0CA0"/>
    <w:multiLevelType w:val="multilevel"/>
    <w:tmpl w:val="2C8AFA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E54345"/>
    <w:multiLevelType w:val="multilevel"/>
    <w:tmpl w:val="05A6FD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D46BA5"/>
    <w:multiLevelType w:val="multilevel"/>
    <w:tmpl w:val="AF96B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584B6C"/>
    <w:multiLevelType w:val="multilevel"/>
    <w:tmpl w:val="4D96E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1B6D52"/>
    <w:multiLevelType w:val="multilevel"/>
    <w:tmpl w:val="4782D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1239E5"/>
    <w:multiLevelType w:val="multilevel"/>
    <w:tmpl w:val="744E4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922996"/>
    <w:multiLevelType w:val="multilevel"/>
    <w:tmpl w:val="549A07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02679E"/>
    <w:multiLevelType w:val="multilevel"/>
    <w:tmpl w:val="DABA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351EF9"/>
    <w:multiLevelType w:val="multilevel"/>
    <w:tmpl w:val="EEC8F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C74F6"/>
    <w:multiLevelType w:val="multilevel"/>
    <w:tmpl w:val="B0F407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86753F"/>
    <w:multiLevelType w:val="multilevel"/>
    <w:tmpl w:val="A3DA6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14425A"/>
    <w:multiLevelType w:val="multilevel"/>
    <w:tmpl w:val="893E7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EC2AD5"/>
    <w:multiLevelType w:val="multilevel"/>
    <w:tmpl w:val="D83ACA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595F10"/>
    <w:multiLevelType w:val="multilevel"/>
    <w:tmpl w:val="50F67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3D0252"/>
    <w:multiLevelType w:val="multilevel"/>
    <w:tmpl w:val="816CA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C46B3E"/>
    <w:multiLevelType w:val="multilevel"/>
    <w:tmpl w:val="E1366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2"/>
  </w:num>
  <w:num w:numId="3">
    <w:abstractNumId w:val="14"/>
  </w:num>
  <w:num w:numId="4">
    <w:abstractNumId w:val="15"/>
  </w:num>
  <w:num w:numId="5">
    <w:abstractNumId w:val="39"/>
  </w:num>
  <w:num w:numId="6">
    <w:abstractNumId w:val="1"/>
  </w:num>
  <w:num w:numId="7">
    <w:abstractNumId w:val="36"/>
  </w:num>
  <w:num w:numId="8">
    <w:abstractNumId w:val="44"/>
  </w:num>
  <w:num w:numId="9">
    <w:abstractNumId w:val="7"/>
  </w:num>
  <w:num w:numId="10">
    <w:abstractNumId w:val="38"/>
  </w:num>
  <w:num w:numId="11">
    <w:abstractNumId w:val="18"/>
  </w:num>
  <w:num w:numId="12">
    <w:abstractNumId w:val="23"/>
  </w:num>
  <w:num w:numId="13">
    <w:abstractNumId w:val="25"/>
  </w:num>
  <w:num w:numId="14">
    <w:abstractNumId w:val="40"/>
  </w:num>
  <w:num w:numId="15">
    <w:abstractNumId w:val="4"/>
  </w:num>
  <w:num w:numId="16">
    <w:abstractNumId w:val="12"/>
  </w:num>
  <w:num w:numId="17">
    <w:abstractNumId w:val="42"/>
  </w:num>
  <w:num w:numId="18">
    <w:abstractNumId w:val="11"/>
  </w:num>
  <w:num w:numId="19">
    <w:abstractNumId w:val="17"/>
  </w:num>
  <w:num w:numId="20">
    <w:abstractNumId w:val="47"/>
  </w:num>
  <w:num w:numId="21">
    <w:abstractNumId w:val="13"/>
  </w:num>
  <w:num w:numId="22">
    <w:abstractNumId w:val="21"/>
  </w:num>
  <w:num w:numId="23">
    <w:abstractNumId w:val="0"/>
  </w:num>
  <w:num w:numId="24">
    <w:abstractNumId w:val="31"/>
  </w:num>
  <w:num w:numId="25">
    <w:abstractNumId w:val="10"/>
  </w:num>
  <w:num w:numId="26">
    <w:abstractNumId w:val="9"/>
  </w:num>
  <w:num w:numId="27">
    <w:abstractNumId w:val="34"/>
  </w:num>
  <w:num w:numId="28">
    <w:abstractNumId w:val="41"/>
  </w:num>
  <w:num w:numId="29">
    <w:abstractNumId w:val="37"/>
  </w:num>
  <w:num w:numId="30">
    <w:abstractNumId w:val="8"/>
  </w:num>
  <w:num w:numId="31">
    <w:abstractNumId w:val="46"/>
  </w:num>
  <w:num w:numId="32">
    <w:abstractNumId w:val="5"/>
  </w:num>
  <w:num w:numId="33">
    <w:abstractNumId w:val="30"/>
  </w:num>
  <w:num w:numId="34">
    <w:abstractNumId w:val="32"/>
  </w:num>
  <w:num w:numId="35">
    <w:abstractNumId w:val="27"/>
  </w:num>
  <w:num w:numId="36">
    <w:abstractNumId w:val="28"/>
  </w:num>
  <w:num w:numId="37">
    <w:abstractNumId w:val="35"/>
  </w:num>
  <w:num w:numId="38">
    <w:abstractNumId w:val="26"/>
  </w:num>
  <w:num w:numId="39">
    <w:abstractNumId w:val="3"/>
  </w:num>
  <w:num w:numId="40">
    <w:abstractNumId w:val="6"/>
  </w:num>
  <w:num w:numId="41">
    <w:abstractNumId w:val="20"/>
  </w:num>
  <w:num w:numId="42">
    <w:abstractNumId w:val="24"/>
  </w:num>
  <w:num w:numId="43">
    <w:abstractNumId w:val="33"/>
  </w:num>
  <w:num w:numId="44">
    <w:abstractNumId w:val="22"/>
  </w:num>
  <w:num w:numId="45">
    <w:abstractNumId w:val="16"/>
  </w:num>
  <w:num w:numId="46">
    <w:abstractNumId w:val="45"/>
  </w:num>
  <w:num w:numId="47">
    <w:abstractNumId w:val="19"/>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11C6B"/>
    <w:rsid w:val="00774EC7"/>
    <w:rsid w:val="00833061"/>
    <w:rsid w:val="008A6859"/>
    <w:rsid w:val="0093341F"/>
    <w:rsid w:val="009562E3"/>
    <w:rsid w:val="00986E9F"/>
    <w:rsid w:val="0099363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66C9E"/>
  <w15:docId w15:val="{C651C923-3C99-4FCA-B504-47D5B49A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9363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80014">
      <w:bodyDiv w:val="1"/>
      <w:marLeft w:val="0"/>
      <w:marRight w:val="0"/>
      <w:marTop w:val="0"/>
      <w:marBottom w:val="0"/>
      <w:divBdr>
        <w:top w:val="none" w:sz="0" w:space="0" w:color="auto"/>
        <w:left w:val="none" w:sz="0" w:space="0" w:color="auto"/>
        <w:bottom w:val="none" w:sz="0" w:space="0" w:color="auto"/>
        <w:right w:val="none" w:sz="0" w:space="0" w:color="auto"/>
      </w:divBdr>
    </w:div>
    <w:div w:id="197035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1EF145787EE46079EFBA17CC3AF14AC"/>
        <w:category>
          <w:name w:val="General"/>
          <w:gallery w:val="placeholder"/>
        </w:category>
        <w:types>
          <w:type w:val="bbPlcHdr"/>
        </w:types>
        <w:behaviors>
          <w:behavior w:val="content"/>
        </w:behaviors>
        <w:guid w:val="{0BE09AB1-D9AE-4EF3-90FD-258EBE087430}"/>
      </w:docPartPr>
      <w:docPartBody>
        <w:p w:rsidR="00000000" w:rsidRDefault="00496734"/>
      </w:docPartBody>
    </w:docPart>
    <w:docPart>
      <w:docPartPr>
        <w:name w:val="1435FA5E41CC4E8A92C5DDFBC09C6CE6"/>
        <w:category>
          <w:name w:val="General"/>
          <w:gallery w:val="placeholder"/>
        </w:category>
        <w:types>
          <w:type w:val="bbPlcHdr"/>
        </w:types>
        <w:behaviors>
          <w:behavior w:val="content"/>
        </w:behaviors>
        <w:guid w:val="{014E8997-F2C4-4AF8-A766-57E0D767AE45}"/>
      </w:docPartPr>
      <w:docPartBody>
        <w:p w:rsidR="00000000" w:rsidRDefault="00496734"/>
      </w:docPartBody>
    </w:docPart>
    <w:docPart>
      <w:docPartPr>
        <w:name w:val="26E7A80E8A89436BACABA83EFEB6E6DB"/>
        <w:category>
          <w:name w:val="General"/>
          <w:gallery w:val="placeholder"/>
        </w:category>
        <w:types>
          <w:type w:val="bbPlcHdr"/>
        </w:types>
        <w:behaviors>
          <w:behavior w:val="content"/>
        </w:behaviors>
        <w:guid w:val="{077657ED-AFDF-44EF-9EE8-309E0D92EB53}"/>
      </w:docPartPr>
      <w:docPartBody>
        <w:p w:rsidR="00000000" w:rsidRDefault="00496734"/>
      </w:docPartBody>
    </w:docPart>
    <w:docPart>
      <w:docPartPr>
        <w:name w:val="48D787F44FB04380840303A30BA3AF46"/>
        <w:category>
          <w:name w:val="General"/>
          <w:gallery w:val="placeholder"/>
        </w:category>
        <w:types>
          <w:type w:val="bbPlcHdr"/>
        </w:types>
        <w:behaviors>
          <w:behavior w:val="content"/>
        </w:behaviors>
        <w:guid w:val="{99155DAA-8B03-471B-AB4F-172B9141886E}"/>
      </w:docPartPr>
      <w:docPartBody>
        <w:p w:rsidR="00000000" w:rsidRDefault="00496734"/>
      </w:docPartBody>
    </w:docPart>
    <w:docPart>
      <w:docPartPr>
        <w:name w:val="21452FFD3A934805B8F048ED82C314CD"/>
        <w:category>
          <w:name w:val="General"/>
          <w:gallery w:val="placeholder"/>
        </w:category>
        <w:types>
          <w:type w:val="bbPlcHdr"/>
        </w:types>
        <w:behaviors>
          <w:behavior w:val="content"/>
        </w:behaviors>
        <w:guid w:val="{1164AFB1-CD65-44CE-83AD-864303FBBEB8}"/>
      </w:docPartPr>
      <w:docPartBody>
        <w:p w:rsidR="00000000" w:rsidRDefault="00496734"/>
      </w:docPartBody>
    </w:docPart>
    <w:docPart>
      <w:docPartPr>
        <w:name w:val="1351B0AA6FCD451085C6EE5DB971949D"/>
        <w:category>
          <w:name w:val="General"/>
          <w:gallery w:val="placeholder"/>
        </w:category>
        <w:types>
          <w:type w:val="bbPlcHdr"/>
        </w:types>
        <w:behaviors>
          <w:behavior w:val="content"/>
        </w:behaviors>
        <w:guid w:val="{5CBEA740-5C36-48F1-BC72-4DCD2B112E7C}"/>
      </w:docPartPr>
      <w:docPartBody>
        <w:p w:rsidR="00000000" w:rsidRDefault="00496734"/>
      </w:docPartBody>
    </w:docPart>
    <w:docPart>
      <w:docPartPr>
        <w:name w:val="8C1C03D82360469EBA5E64A0AD256EBD"/>
        <w:category>
          <w:name w:val="General"/>
          <w:gallery w:val="placeholder"/>
        </w:category>
        <w:types>
          <w:type w:val="bbPlcHdr"/>
        </w:types>
        <w:behaviors>
          <w:behavior w:val="content"/>
        </w:behaviors>
        <w:guid w:val="{99627852-313D-4505-8B6F-B4DF1462AF45}"/>
      </w:docPartPr>
      <w:docPartBody>
        <w:p w:rsidR="00000000" w:rsidRDefault="00496734"/>
      </w:docPartBody>
    </w:docPart>
    <w:docPart>
      <w:docPartPr>
        <w:name w:val="1851CDCFF918489B8E4AC99B0B3D5C76"/>
        <w:category>
          <w:name w:val="General"/>
          <w:gallery w:val="placeholder"/>
        </w:category>
        <w:types>
          <w:type w:val="bbPlcHdr"/>
        </w:types>
        <w:behaviors>
          <w:behavior w:val="content"/>
        </w:behaviors>
        <w:guid w:val="{AFE0DBF2-F3CA-4E92-9C1B-CC08238B921E}"/>
      </w:docPartPr>
      <w:docPartBody>
        <w:p w:rsidR="00000000" w:rsidRDefault="00496734"/>
      </w:docPartBody>
    </w:docPart>
    <w:docPart>
      <w:docPartPr>
        <w:name w:val="ACB2EA231EA649A8AC50DF7FEE16767B"/>
        <w:category>
          <w:name w:val="General"/>
          <w:gallery w:val="placeholder"/>
        </w:category>
        <w:types>
          <w:type w:val="bbPlcHdr"/>
        </w:types>
        <w:behaviors>
          <w:behavior w:val="content"/>
        </w:behaviors>
        <w:guid w:val="{35C9B0D4-3A89-44C9-88BC-B5DAB46A1092}"/>
      </w:docPartPr>
      <w:docPartBody>
        <w:p w:rsidR="00000000" w:rsidRDefault="00496734"/>
      </w:docPartBody>
    </w:docPart>
    <w:docPart>
      <w:docPartPr>
        <w:name w:val="D510BB8779914B4BB81B2001F0ABB1C9"/>
        <w:category>
          <w:name w:val="General"/>
          <w:gallery w:val="placeholder"/>
        </w:category>
        <w:types>
          <w:type w:val="bbPlcHdr"/>
        </w:types>
        <w:behaviors>
          <w:behavior w:val="content"/>
        </w:behaviors>
        <w:guid w:val="{E322F213-8F5D-4461-B0EA-5D24A8C44039}"/>
      </w:docPartPr>
      <w:docPartBody>
        <w:p w:rsidR="00000000" w:rsidRDefault="0071469A" w:rsidP="0071469A">
          <w:pPr>
            <w:pStyle w:val="D510BB8779914B4BB81B2001F0ABB1C9"/>
          </w:pPr>
          <w:r w:rsidRPr="00A30DD1">
            <w:rPr>
              <w:rStyle w:val="PlaceholderText"/>
            </w:rPr>
            <w:t>Click here to enter a date.</w:t>
          </w:r>
        </w:p>
      </w:docPartBody>
    </w:docPart>
    <w:docPart>
      <w:docPartPr>
        <w:name w:val="40620624D1634811BF5E286D10FAE984"/>
        <w:category>
          <w:name w:val="General"/>
          <w:gallery w:val="placeholder"/>
        </w:category>
        <w:types>
          <w:type w:val="bbPlcHdr"/>
        </w:types>
        <w:behaviors>
          <w:behavior w:val="content"/>
        </w:behaviors>
        <w:guid w:val="{EA5CC769-B466-4D73-BBC4-E46D84799ABC}"/>
      </w:docPartPr>
      <w:docPartBody>
        <w:p w:rsidR="00000000" w:rsidRDefault="00496734"/>
      </w:docPartBody>
    </w:docPart>
    <w:docPart>
      <w:docPartPr>
        <w:name w:val="DED4B11408A040A0B21444FBFF33F9D5"/>
        <w:category>
          <w:name w:val="General"/>
          <w:gallery w:val="placeholder"/>
        </w:category>
        <w:types>
          <w:type w:val="bbPlcHdr"/>
        </w:types>
        <w:behaviors>
          <w:behavior w:val="content"/>
        </w:behaviors>
        <w:guid w:val="{99D1231D-EEC1-43A8-9EAE-9696A4398279}"/>
      </w:docPartPr>
      <w:docPartBody>
        <w:p w:rsidR="00000000" w:rsidRDefault="00496734"/>
      </w:docPartBody>
    </w:docPart>
    <w:docPart>
      <w:docPartPr>
        <w:name w:val="A0B5E5D522A44B36A17DEA43F89BB6BE"/>
        <w:category>
          <w:name w:val="General"/>
          <w:gallery w:val="placeholder"/>
        </w:category>
        <w:types>
          <w:type w:val="bbPlcHdr"/>
        </w:types>
        <w:behaviors>
          <w:behavior w:val="content"/>
        </w:behaviors>
        <w:guid w:val="{D263832F-0E7C-419C-9E9A-DF257EE05D44}"/>
      </w:docPartPr>
      <w:docPartBody>
        <w:p w:rsidR="00000000" w:rsidRDefault="0071469A" w:rsidP="0071469A">
          <w:pPr>
            <w:pStyle w:val="A0B5E5D522A44B36A17DEA43F89BB6BE"/>
          </w:pPr>
          <w:r>
            <w:rPr>
              <w:rFonts w:eastAsia="Times New Roman" w:cs="Times New Roman"/>
              <w:bCs/>
              <w:szCs w:val="24"/>
            </w:rPr>
            <w:t xml:space="preserve"> </w:t>
          </w:r>
        </w:p>
      </w:docPartBody>
    </w:docPart>
    <w:docPart>
      <w:docPartPr>
        <w:name w:val="F0F942B38EE540CF804FE5F87E05B535"/>
        <w:category>
          <w:name w:val="General"/>
          <w:gallery w:val="placeholder"/>
        </w:category>
        <w:types>
          <w:type w:val="bbPlcHdr"/>
        </w:types>
        <w:behaviors>
          <w:behavior w:val="content"/>
        </w:behaviors>
        <w:guid w:val="{3D1A663F-53F8-4CCF-A24F-1151D8A03694}"/>
      </w:docPartPr>
      <w:docPartBody>
        <w:p w:rsidR="00000000" w:rsidRDefault="00496734"/>
      </w:docPartBody>
    </w:docPart>
    <w:docPart>
      <w:docPartPr>
        <w:name w:val="8415237E959C4B6C9BB406236D2CAB33"/>
        <w:category>
          <w:name w:val="General"/>
          <w:gallery w:val="placeholder"/>
        </w:category>
        <w:types>
          <w:type w:val="bbPlcHdr"/>
        </w:types>
        <w:behaviors>
          <w:behavior w:val="content"/>
        </w:behaviors>
        <w:guid w:val="{BB108396-1D8C-4164-A02E-6AAE75EEFA7D}"/>
      </w:docPartPr>
      <w:docPartBody>
        <w:p w:rsidR="00000000" w:rsidRDefault="004967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96734"/>
    <w:rsid w:val="00576003"/>
    <w:rsid w:val="005B408E"/>
    <w:rsid w:val="005D31F2"/>
    <w:rsid w:val="00635291"/>
    <w:rsid w:val="006959CC"/>
    <w:rsid w:val="00696675"/>
    <w:rsid w:val="006B0016"/>
    <w:rsid w:val="0071469A"/>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69A"/>
    <w:rPr>
      <w:color w:val="808080"/>
    </w:rPr>
  </w:style>
  <w:style w:type="paragraph" w:customStyle="1" w:styleId="D510BB8779914B4BB81B2001F0ABB1C9">
    <w:name w:val="D510BB8779914B4BB81B2001F0ABB1C9"/>
    <w:rsid w:val="0071469A"/>
    <w:pPr>
      <w:spacing w:after="160" w:line="259" w:lineRule="auto"/>
    </w:pPr>
  </w:style>
  <w:style w:type="paragraph" w:customStyle="1" w:styleId="A0B5E5D522A44B36A17DEA43F89BB6BE">
    <w:name w:val="A0B5E5D522A44B36A17DEA43F89BB6BE"/>
    <w:rsid w:val="0071469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3530</Words>
  <Characters>20122</Characters>
  <Application>Microsoft Office Word</Application>
  <DocSecurity>0</DocSecurity>
  <Lines>167</Lines>
  <Paragraphs>47</Paragraphs>
  <ScaleCrop>false</ScaleCrop>
  <Company>Texas Legislative Council</Company>
  <LinksUpToDate>false</LinksUpToDate>
  <CharactersWithSpaces>23605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2023-07-12T17:23:00Z</dcterms:modified>
</cp:coreProperties>
</file>

<file path=docProps/custom.xml><?xml version="1.0" encoding="utf-8"?>
<op:Properties xmlns:vt="http://schemas.openxmlformats.org/officeDocument/2006/docPropsVTypes" xmlns:op="http://schemas.openxmlformats.org/officeDocument/2006/custom-properties"/>
</file>