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25C12" w14:paraId="71CE57B3" w14:textId="77777777" w:rsidTr="00345119">
        <w:tc>
          <w:tcPr>
            <w:tcW w:w="9576" w:type="dxa"/>
            <w:noWrap/>
          </w:tcPr>
          <w:p w14:paraId="2B9798D1" w14:textId="77777777" w:rsidR="008423E4" w:rsidRPr="0022177D" w:rsidRDefault="002A4E79" w:rsidP="005A6639">
            <w:pPr>
              <w:pStyle w:val="Heading1"/>
            </w:pPr>
            <w:r w:rsidRPr="00631897">
              <w:t>BILL ANALYSIS</w:t>
            </w:r>
          </w:p>
        </w:tc>
      </w:tr>
    </w:tbl>
    <w:p w14:paraId="14075CB3" w14:textId="77777777" w:rsidR="008423E4" w:rsidRPr="0022177D" w:rsidRDefault="008423E4" w:rsidP="005A6639">
      <w:pPr>
        <w:jc w:val="center"/>
      </w:pPr>
    </w:p>
    <w:p w14:paraId="797BFD70" w14:textId="77777777" w:rsidR="008423E4" w:rsidRPr="00B31F0E" w:rsidRDefault="008423E4" w:rsidP="005A6639"/>
    <w:p w14:paraId="24B6BDA8" w14:textId="77777777" w:rsidR="008423E4" w:rsidRPr="00742794" w:rsidRDefault="008423E4" w:rsidP="005A663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25C12" w14:paraId="58E67DB9" w14:textId="77777777" w:rsidTr="00345119">
        <w:tc>
          <w:tcPr>
            <w:tcW w:w="9576" w:type="dxa"/>
          </w:tcPr>
          <w:p w14:paraId="11969533" w14:textId="3E7AA3D7" w:rsidR="008423E4" w:rsidRPr="00861995" w:rsidRDefault="002A4E79" w:rsidP="005A6639">
            <w:pPr>
              <w:jc w:val="right"/>
            </w:pPr>
            <w:r>
              <w:t>S.B. 2186</w:t>
            </w:r>
          </w:p>
        </w:tc>
      </w:tr>
      <w:tr w:rsidR="00D25C12" w14:paraId="3A325AC5" w14:textId="77777777" w:rsidTr="00345119">
        <w:tc>
          <w:tcPr>
            <w:tcW w:w="9576" w:type="dxa"/>
          </w:tcPr>
          <w:p w14:paraId="1D7204E4" w14:textId="5F257949" w:rsidR="008423E4" w:rsidRPr="00861995" w:rsidRDefault="002A4E79" w:rsidP="005A6639">
            <w:pPr>
              <w:jc w:val="right"/>
            </w:pPr>
            <w:r>
              <w:t xml:space="preserve">By: </w:t>
            </w:r>
            <w:r w:rsidR="005944C7">
              <w:t>Zaffirini</w:t>
            </w:r>
          </w:p>
        </w:tc>
      </w:tr>
      <w:tr w:rsidR="00D25C12" w14:paraId="49617FC3" w14:textId="77777777" w:rsidTr="00345119">
        <w:tc>
          <w:tcPr>
            <w:tcW w:w="9576" w:type="dxa"/>
          </w:tcPr>
          <w:p w14:paraId="38D11D65" w14:textId="62AA80A1" w:rsidR="008423E4" w:rsidRPr="00861995" w:rsidRDefault="002A4E79" w:rsidP="005A6639">
            <w:pPr>
              <w:jc w:val="right"/>
            </w:pPr>
            <w:r>
              <w:t>Public Health</w:t>
            </w:r>
          </w:p>
        </w:tc>
      </w:tr>
      <w:tr w:rsidR="00D25C12" w14:paraId="1045F314" w14:textId="77777777" w:rsidTr="00345119">
        <w:tc>
          <w:tcPr>
            <w:tcW w:w="9576" w:type="dxa"/>
          </w:tcPr>
          <w:p w14:paraId="3C6F2E09" w14:textId="54D612E0" w:rsidR="008423E4" w:rsidRDefault="002A4E79" w:rsidP="005A6639">
            <w:pPr>
              <w:jc w:val="right"/>
            </w:pPr>
            <w:r>
              <w:t>Committee Report (Unamended)</w:t>
            </w:r>
          </w:p>
        </w:tc>
      </w:tr>
    </w:tbl>
    <w:p w14:paraId="668AF7A4" w14:textId="77777777" w:rsidR="008423E4" w:rsidRDefault="008423E4" w:rsidP="005A6639">
      <w:pPr>
        <w:tabs>
          <w:tab w:val="right" w:pos="9360"/>
        </w:tabs>
      </w:pPr>
    </w:p>
    <w:p w14:paraId="7C4B4350" w14:textId="77777777" w:rsidR="008423E4" w:rsidRDefault="008423E4" w:rsidP="005A6639"/>
    <w:p w14:paraId="6E62541D" w14:textId="77777777" w:rsidR="008423E4" w:rsidRDefault="008423E4" w:rsidP="005A663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25C12" w14:paraId="479E89B7" w14:textId="77777777" w:rsidTr="00345119">
        <w:tc>
          <w:tcPr>
            <w:tcW w:w="9576" w:type="dxa"/>
          </w:tcPr>
          <w:p w14:paraId="4D41C6B5" w14:textId="77777777" w:rsidR="008423E4" w:rsidRPr="00A8133F" w:rsidRDefault="002A4E79" w:rsidP="005A66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70F66D" w14:textId="77777777" w:rsidR="008423E4" w:rsidRDefault="008423E4" w:rsidP="005A6639"/>
          <w:p w14:paraId="01158B00" w14:textId="56C1C2F6" w:rsidR="00C30A73" w:rsidRDefault="002A4E79" w:rsidP="005A6639">
            <w:pPr>
              <w:pStyle w:val="Header"/>
              <w:jc w:val="both"/>
            </w:pPr>
            <w:r>
              <w:t xml:space="preserve">Certain matters have been raised by attorneys who assist clients with statements of anatomical gifts. The Revised Uniform Anatomical Gift Act </w:t>
            </w:r>
            <w:r w:rsidR="00892B71">
              <w:t>is inconsistent in its treatment</w:t>
            </w:r>
            <w:r w:rsidR="00F26C80">
              <w:t xml:space="preserve"> of </w:t>
            </w:r>
            <w:r w:rsidR="00FD7371">
              <w:t>individuals</w:t>
            </w:r>
            <w:r w:rsidR="00F26C80">
              <w:t xml:space="preserve"> who </w:t>
            </w:r>
            <w:r w:rsidR="00FD7371">
              <w:t>are authorized to</w:t>
            </w:r>
            <w:r w:rsidR="00F26C80">
              <w:t xml:space="preserve"> sign a record</w:t>
            </w:r>
            <w:r>
              <w:t xml:space="preserve"> for</w:t>
            </w:r>
            <w:r w:rsidR="00F26C80">
              <w:t xml:space="preserve"> themselves and </w:t>
            </w:r>
            <w:r w:rsidR="00FD7371">
              <w:t>individuals</w:t>
            </w:r>
            <w:r w:rsidR="00F26C80">
              <w:t xml:space="preserve"> who are physically unable to sign a record. Additionally, the Texas Anatomical Gift Act </w:t>
            </w:r>
            <w:r>
              <w:t>was repealed in 2009 and replaced with</w:t>
            </w:r>
            <w:r w:rsidR="00F26C80">
              <w:t xml:space="preserve"> the</w:t>
            </w:r>
            <w:r>
              <w:t xml:space="preserve"> </w:t>
            </w:r>
            <w:r w:rsidR="00F26C80" w:rsidRPr="00F26C80">
              <w:t>Revised Uniform Anatomical Gift Act</w:t>
            </w:r>
            <w:r w:rsidR="00AA0042">
              <w:t>, but that same year the repealed act was also amended</w:t>
            </w:r>
            <w:r w:rsidR="00FD7371">
              <w:t>,</w:t>
            </w:r>
            <w:r w:rsidR="00AA0042">
              <w:t xml:space="preserve"> which</w:t>
            </w:r>
            <w:r>
              <w:t xml:space="preserve"> has caused confusion for pr</w:t>
            </w:r>
            <w:r>
              <w:t>actitioners</w:t>
            </w:r>
            <w:r w:rsidR="00AA0042">
              <w:t xml:space="preserve"> since.</w:t>
            </w:r>
            <w:r>
              <w:t xml:space="preserve"> </w:t>
            </w:r>
            <w:r w:rsidR="0046024D">
              <w:t>S</w:t>
            </w:r>
            <w:r w:rsidR="00AA0042">
              <w:t>.</w:t>
            </w:r>
            <w:r>
              <w:t>B</w:t>
            </w:r>
            <w:r w:rsidR="00AA0042">
              <w:t>.</w:t>
            </w:r>
            <w:r>
              <w:t xml:space="preserve"> </w:t>
            </w:r>
            <w:r w:rsidR="0046024D">
              <w:t>2186</w:t>
            </w:r>
            <w:r>
              <w:t xml:space="preserve"> </w:t>
            </w:r>
            <w:r w:rsidR="00AA0042">
              <w:t>seeks to address these issues</w:t>
            </w:r>
            <w:r>
              <w:t xml:space="preserve"> and align statute </w:t>
            </w:r>
            <w:r w:rsidRPr="00C30A73">
              <w:t>by revising provisions relating to the manner of executing certain anatomical gift records.</w:t>
            </w:r>
            <w:r>
              <w:t xml:space="preserve"> </w:t>
            </w:r>
          </w:p>
          <w:p w14:paraId="3D538192" w14:textId="77777777" w:rsidR="008423E4" w:rsidRPr="00E26B13" w:rsidRDefault="008423E4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25C12" w14:paraId="0B2946F0" w14:textId="77777777" w:rsidTr="00345119">
        <w:tc>
          <w:tcPr>
            <w:tcW w:w="9576" w:type="dxa"/>
          </w:tcPr>
          <w:p w14:paraId="28161CDB" w14:textId="77777777" w:rsidR="0017725B" w:rsidRDefault="002A4E79" w:rsidP="005A66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35DBC32" w14:textId="77777777" w:rsidR="0017725B" w:rsidRDefault="0017725B" w:rsidP="005A6639">
            <w:pPr>
              <w:rPr>
                <w:b/>
                <w:u w:val="single"/>
              </w:rPr>
            </w:pPr>
          </w:p>
          <w:p w14:paraId="3DF85452" w14:textId="7AC7A035" w:rsidR="003F4B4B" w:rsidRPr="003F4B4B" w:rsidRDefault="002A4E79" w:rsidP="005A6639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7CAD3BA" w14:textId="77777777" w:rsidR="0017725B" w:rsidRPr="0017725B" w:rsidRDefault="0017725B" w:rsidP="005A6639">
            <w:pPr>
              <w:rPr>
                <w:b/>
                <w:u w:val="single"/>
              </w:rPr>
            </w:pPr>
          </w:p>
        </w:tc>
      </w:tr>
      <w:tr w:rsidR="00D25C12" w14:paraId="1E047606" w14:textId="77777777" w:rsidTr="00345119">
        <w:tc>
          <w:tcPr>
            <w:tcW w:w="9576" w:type="dxa"/>
          </w:tcPr>
          <w:p w14:paraId="499319C9" w14:textId="77777777" w:rsidR="008423E4" w:rsidRPr="00A8133F" w:rsidRDefault="002A4E79" w:rsidP="005A66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B51217E" w14:textId="77777777" w:rsidR="008423E4" w:rsidRDefault="008423E4" w:rsidP="005A6639"/>
          <w:p w14:paraId="34D51DB2" w14:textId="6EE10F33" w:rsidR="003F4B4B" w:rsidRDefault="002A4E79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2EE839F7" w14:textId="77777777" w:rsidR="008423E4" w:rsidRPr="00E21FDC" w:rsidRDefault="008423E4" w:rsidP="005A6639">
            <w:pPr>
              <w:rPr>
                <w:b/>
              </w:rPr>
            </w:pPr>
          </w:p>
        </w:tc>
      </w:tr>
      <w:tr w:rsidR="00D25C12" w14:paraId="74454AD0" w14:textId="77777777" w:rsidTr="00345119">
        <w:tc>
          <w:tcPr>
            <w:tcW w:w="9576" w:type="dxa"/>
          </w:tcPr>
          <w:p w14:paraId="2C308DFC" w14:textId="77777777" w:rsidR="008423E4" w:rsidRPr="00A8133F" w:rsidRDefault="002A4E79" w:rsidP="005A66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C3D32A" w14:textId="77777777" w:rsidR="008423E4" w:rsidRDefault="008423E4" w:rsidP="005A6639"/>
          <w:p w14:paraId="3C88CB33" w14:textId="25D0582F" w:rsidR="009C36CD" w:rsidRDefault="002A4E79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944C7">
              <w:t xml:space="preserve">S.B. 2186 </w:t>
            </w:r>
            <w:r w:rsidR="003D1524">
              <w:t>repeals the Texas Anatomical Gift Act</w:t>
            </w:r>
            <w:r w:rsidR="00A55049">
              <w:t>,</w:t>
            </w:r>
            <w:r w:rsidR="003D1524">
              <w:t xml:space="preserve"> which </w:t>
            </w:r>
            <w:r w:rsidR="00EE1451">
              <w:t>provides for the</w:t>
            </w:r>
            <w:r w:rsidR="003F4B4B">
              <w:t xml:space="preserve"> execution</w:t>
            </w:r>
            <w:r w:rsidR="00AB39B8">
              <w:t xml:space="preserve"> </w:t>
            </w:r>
            <w:r w:rsidR="003F4B4B">
              <w:t xml:space="preserve">of </w:t>
            </w:r>
            <w:r w:rsidR="00AB39B8">
              <w:t xml:space="preserve">an anatomical gift </w:t>
            </w:r>
            <w:r w:rsidR="00A55049">
              <w:t>made by a document, including a statement or symbol in an</w:t>
            </w:r>
            <w:r w:rsidR="003F4B4B">
              <w:t xml:space="preserve"> </w:t>
            </w:r>
            <w:r w:rsidR="00AB39B8" w:rsidRPr="00AB39B8">
              <w:t>online donor registry</w:t>
            </w:r>
            <w:r w:rsidR="00AB39B8">
              <w:t xml:space="preserve">. </w:t>
            </w:r>
          </w:p>
          <w:p w14:paraId="2D0811DE" w14:textId="77777777" w:rsidR="003F4B4B" w:rsidRDefault="003F4B4B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801B88C" w14:textId="08BE383F" w:rsidR="008E2B6E" w:rsidRDefault="002A4E79" w:rsidP="005A6639">
            <w:pPr>
              <w:pStyle w:val="Header"/>
              <w:jc w:val="both"/>
            </w:pPr>
            <w:r w:rsidRPr="005944C7">
              <w:t>S</w:t>
            </w:r>
            <w:r>
              <w:t>.</w:t>
            </w:r>
            <w:r w:rsidRPr="005944C7">
              <w:t>B</w:t>
            </w:r>
            <w:r>
              <w:t>.</w:t>
            </w:r>
            <w:r w:rsidRPr="005944C7">
              <w:t xml:space="preserve"> 2186 </w:t>
            </w:r>
            <w:r w:rsidR="00A55049">
              <w:t xml:space="preserve">amends the Health and Safety Code to </w:t>
            </w:r>
            <w:r>
              <w:t>authoriz</w:t>
            </w:r>
            <w:r w:rsidR="0043267E">
              <w:t>e</w:t>
            </w:r>
            <w:r>
              <w:t xml:space="preserve"> a donor or other </w:t>
            </w:r>
            <w:r w:rsidR="00814EA4">
              <w:t xml:space="preserve">person </w:t>
            </w:r>
            <w:r>
              <w:t xml:space="preserve">authorized </w:t>
            </w:r>
            <w:r w:rsidR="00814EA4">
              <w:t xml:space="preserve">to make an anatomical gift under the Revised Uniform Anatomical Gift Act </w:t>
            </w:r>
            <w:r>
              <w:t>to make a gift through an online registry</w:t>
            </w:r>
            <w:r w:rsidR="003F4B4B">
              <w:t xml:space="preserve"> </w:t>
            </w:r>
            <w:r w:rsidR="00FC0FCA">
              <w:t>in substantially the same manner as in the provisions repealed by the bill. Accordingly, the bill</w:t>
            </w:r>
            <w:r w:rsidR="00814EA4">
              <w:t xml:space="preserve"> </w:t>
            </w:r>
            <w:r w:rsidR="003F4B4B">
              <w:t>establish</w:t>
            </w:r>
            <w:r w:rsidR="00FC0FCA">
              <w:t>es</w:t>
            </w:r>
            <w:r w:rsidR="003F4B4B">
              <w:t xml:space="preserve"> </w:t>
            </w:r>
            <w:r>
              <w:t xml:space="preserve">the </w:t>
            </w:r>
            <w:r w:rsidR="00814EA4">
              <w:t xml:space="preserve">following with respect to the </w:t>
            </w:r>
            <w:r>
              <w:t>online registration:</w:t>
            </w:r>
          </w:p>
          <w:p w14:paraId="2220E071" w14:textId="22246436" w:rsidR="008E2B6E" w:rsidRDefault="002A4E79" w:rsidP="005A6639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it does not require the consent of </w:t>
            </w:r>
            <w:r>
              <w:t>another person or require a witness to sign at the donor's request or a notary public to acknowledge the gift; and</w:t>
            </w:r>
          </w:p>
          <w:p w14:paraId="1BF7E586" w14:textId="1E5533A0" w:rsidR="00406F4F" w:rsidRDefault="002A4E79" w:rsidP="005A663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 w:rsidR="008E2B6E">
              <w:t xml:space="preserve">constitutes a legal document under </w:t>
            </w:r>
            <w:r>
              <w:t>the act</w:t>
            </w:r>
            <w:r w:rsidR="008E2B6E">
              <w:t xml:space="preserve"> that remains binding after the donor's death.</w:t>
            </w:r>
          </w:p>
          <w:p w14:paraId="2AD4C8E2" w14:textId="33AC2E71" w:rsidR="00406F4F" w:rsidRDefault="002A4E79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BF0C4E">
              <w:t>gives</w:t>
            </w:r>
            <w:r>
              <w:t xml:space="preserve"> an individual </w:t>
            </w:r>
            <w:r w:rsidR="00BF0C4E">
              <w:t>signing a record to</w:t>
            </w:r>
            <w:r w:rsidR="00BF0C4E" w:rsidRPr="005B5C11">
              <w:t xml:space="preserve"> </w:t>
            </w:r>
            <w:r w:rsidRPr="005B5C11">
              <w:t>make</w:t>
            </w:r>
            <w:r w:rsidR="001E100E">
              <w:t xml:space="preserve">, amend or revoke, </w:t>
            </w:r>
            <w:r w:rsidR="002E3835">
              <w:t>or refus</w:t>
            </w:r>
            <w:r w:rsidR="00EE1451">
              <w:t>e</w:t>
            </w:r>
            <w:r w:rsidR="002E3835">
              <w:t xml:space="preserve"> to make</w:t>
            </w:r>
            <w:r w:rsidRPr="005B5C11">
              <w:t xml:space="preserve"> an anatomical gift</w:t>
            </w:r>
            <w:r>
              <w:t xml:space="preserve"> </w:t>
            </w:r>
            <w:r w:rsidR="006E2732">
              <w:t>at the direction</w:t>
            </w:r>
            <w:r>
              <w:t xml:space="preserve"> of a donor </w:t>
            </w:r>
            <w:r w:rsidR="002E3835">
              <w:t xml:space="preserve">or </w:t>
            </w:r>
            <w:r w:rsidR="006E2732">
              <w:t xml:space="preserve">other </w:t>
            </w:r>
            <w:r w:rsidR="002E3835">
              <w:t>individual</w:t>
            </w:r>
            <w:r w:rsidR="001E100E">
              <w:t>, as applicable,</w:t>
            </w:r>
            <w:r w:rsidR="006E2732">
              <w:t xml:space="preserve"> </w:t>
            </w:r>
            <w:r>
              <w:t xml:space="preserve">who is </w:t>
            </w:r>
            <w:r w:rsidR="006E2732">
              <w:t xml:space="preserve">physically </w:t>
            </w:r>
            <w:r>
              <w:t xml:space="preserve">unable to sign </w:t>
            </w:r>
            <w:r w:rsidR="00BF0C4E">
              <w:t>the</w:t>
            </w:r>
            <w:r>
              <w:t xml:space="preserve"> record </w:t>
            </w:r>
            <w:r w:rsidR="006E2732">
              <w:t>the option of</w:t>
            </w:r>
            <w:r w:rsidR="00BF0C4E">
              <w:t xml:space="preserve"> </w:t>
            </w:r>
            <w:r w:rsidR="00952306">
              <w:t xml:space="preserve">having </w:t>
            </w:r>
            <w:r w:rsidR="00BF0C4E">
              <w:t xml:space="preserve">the record </w:t>
            </w:r>
            <w:r w:rsidR="00952306">
              <w:t xml:space="preserve">acknowledged </w:t>
            </w:r>
            <w:r w:rsidR="00BF0C4E">
              <w:t>before a notary public as an alternative to signing the record before at least two adult witnesses meeting certain criteria</w:t>
            </w:r>
            <w:r>
              <w:t>.</w:t>
            </w:r>
          </w:p>
          <w:p w14:paraId="75DCBCBF" w14:textId="77777777" w:rsidR="00A55049" w:rsidRDefault="00A55049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9DF251F" w14:textId="4151D41E" w:rsidR="00AB39B8" w:rsidRDefault="002A4E79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944C7">
              <w:t xml:space="preserve">S.B. 2186 </w:t>
            </w:r>
            <w:r w:rsidR="00406F4F" w:rsidRPr="00406F4F">
              <w:t>appl</w:t>
            </w:r>
            <w:r w:rsidR="00406F4F">
              <w:t>ies</w:t>
            </w:r>
            <w:r w:rsidR="00406F4F" w:rsidRPr="00406F4F">
              <w:t xml:space="preserve"> only to </w:t>
            </w:r>
            <w:r w:rsidR="00406F4F">
              <w:t xml:space="preserve">a document or the </w:t>
            </w:r>
            <w:r w:rsidR="00406F4F" w:rsidRPr="00406F4F">
              <w:t xml:space="preserve">validity of a record executed on or after the </w:t>
            </w:r>
            <w:r w:rsidR="009340E3">
              <w:t xml:space="preserve">bill's </w:t>
            </w:r>
            <w:r w:rsidR="00406F4F" w:rsidRPr="00406F4F">
              <w:t>effective date</w:t>
            </w:r>
            <w:r w:rsidR="00406F4F">
              <w:t>.</w:t>
            </w:r>
            <w:r w:rsidR="005B5C11">
              <w:t xml:space="preserve"> </w:t>
            </w:r>
          </w:p>
          <w:p w14:paraId="0DD85A0C" w14:textId="62AFB6FE" w:rsidR="003A0A43" w:rsidRDefault="003A0A43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A0C1D78" w14:textId="43A29255" w:rsidR="003A0A43" w:rsidRPr="009C36CD" w:rsidRDefault="002A4E79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944C7">
              <w:t xml:space="preserve">S.B. 2186 </w:t>
            </w:r>
            <w:r>
              <w:t>repeals Chapter 692, Health and Safety Code</w:t>
            </w:r>
            <w:r w:rsidR="00A55049">
              <w:t>.</w:t>
            </w:r>
          </w:p>
          <w:p w14:paraId="66E82E4E" w14:textId="77777777" w:rsidR="008423E4" w:rsidRPr="00835628" w:rsidRDefault="008423E4" w:rsidP="005A6639">
            <w:pPr>
              <w:rPr>
                <w:b/>
              </w:rPr>
            </w:pPr>
          </w:p>
        </w:tc>
      </w:tr>
      <w:tr w:rsidR="00D25C12" w14:paraId="10E88762" w14:textId="77777777" w:rsidTr="00345119">
        <w:tc>
          <w:tcPr>
            <w:tcW w:w="9576" w:type="dxa"/>
          </w:tcPr>
          <w:p w14:paraId="2153FDA8" w14:textId="77777777" w:rsidR="008423E4" w:rsidRPr="00A8133F" w:rsidRDefault="002A4E79" w:rsidP="005A66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36E5AE" w14:textId="77777777" w:rsidR="008423E4" w:rsidRDefault="008423E4" w:rsidP="005A6639"/>
          <w:p w14:paraId="0B162147" w14:textId="1182F642" w:rsidR="008423E4" w:rsidRPr="003624F2" w:rsidRDefault="002A4E79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F4B4B">
              <w:t>September 1, 2023.</w:t>
            </w:r>
          </w:p>
          <w:p w14:paraId="6B0744D5" w14:textId="77777777" w:rsidR="008423E4" w:rsidRPr="00233FDB" w:rsidRDefault="008423E4" w:rsidP="005A6639">
            <w:pPr>
              <w:rPr>
                <w:b/>
              </w:rPr>
            </w:pPr>
          </w:p>
        </w:tc>
      </w:tr>
    </w:tbl>
    <w:p w14:paraId="439E7293" w14:textId="77777777" w:rsidR="008423E4" w:rsidRPr="00BE0E75" w:rsidRDefault="008423E4" w:rsidP="005A6639">
      <w:pPr>
        <w:jc w:val="both"/>
        <w:rPr>
          <w:rFonts w:ascii="Arial" w:hAnsi="Arial"/>
          <w:sz w:val="16"/>
          <w:szCs w:val="16"/>
        </w:rPr>
      </w:pPr>
    </w:p>
    <w:p w14:paraId="309E3F2E" w14:textId="77777777" w:rsidR="004108C3" w:rsidRPr="008423E4" w:rsidRDefault="004108C3" w:rsidP="005A663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F5A9" w14:textId="77777777" w:rsidR="00000000" w:rsidRDefault="002A4E79">
      <w:r>
        <w:separator/>
      </w:r>
    </w:p>
  </w:endnote>
  <w:endnote w:type="continuationSeparator" w:id="0">
    <w:p w14:paraId="47F7F0D1" w14:textId="77777777" w:rsidR="00000000" w:rsidRDefault="002A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382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25C12" w14:paraId="102C71D6" w14:textId="77777777" w:rsidTr="009C1E9A">
      <w:trPr>
        <w:cantSplit/>
      </w:trPr>
      <w:tc>
        <w:tcPr>
          <w:tcW w:w="0" w:type="pct"/>
        </w:tcPr>
        <w:p w14:paraId="7D8EA2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050F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4037C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A8E1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4D450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5C12" w14:paraId="7B92B257" w14:textId="77777777" w:rsidTr="009C1E9A">
      <w:trPr>
        <w:cantSplit/>
      </w:trPr>
      <w:tc>
        <w:tcPr>
          <w:tcW w:w="0" w:type="pct"/>
        </w:tcPr>
        <w:p w14:paraId="1417DC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6F6E6D" w14:textId="32E8C380" w:rsidR="00EC379B" w:rsidRPr="009C1E9A" w:rsidRDefault="002A4E7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28596-D</w:t>
          </w:r>
        </w:p>
      </w:tc>
      <w:tc>
        <w:tcPr>
          <w:tcW w:w="2453" w:type="pct"/>
        </w:tcPr>
        <w:p w14:paraId="37EC33F9" w14:textId="14CDC57B" w:rsidR="00EC379B" w:rsidRDefault="002A4E7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E5CA2">
            <w:t>23.126.1151</w:t>
          </w:r>
          <w:r>
            <w:fldChar w:fldCharType="end"/>
          </w:r>
        </w:p>
      </w:tc>
    </w:tr>
    <w:tr w:rsidR="00D25C12" w14:paraId="41A350CC" w14:textId="77777777" w:rsidTr="009C1E9A">
      <w:trPr>
        <w:cantSplit/>
      </w:trPr>
      <w:tc>
        <w:tcPr>
          <w:tcW w:w="0" w:type="pct"/>
        </w:tcPr>
        <w:p w14:paraId="45D0C07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74A80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5E74E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B869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5C12" w14:paraId="24A6A52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15F6E9D" w14:textId="77777777" w:rsidR="00EC379B" w:rsidRDefault="002A4E7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2341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19BB4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190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9BC3" w14:textId="77777777" w:rsidR="00000000" w:rsidRDefault="002A4E79">
      <w:r>
        <w:separator/>
      </w:r>
    </w:p>
  </w:footnote>
  <w:footnote w:type="continuationSeparator" w:id="0">
    <w:p w14:paraId="15CD4C58" w14:textId="77777777" w:rsidR="00000000" w:rsidRDefault="002A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074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FF7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A39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08E6"/>
    <w:multiLevelType w:val="hybridMultilevel"/>
    <w:tmpl w:val="2FAEA02E"/>
    <w:lvl w:ilvl="0" w:tplc="B9C2E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8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0C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0D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62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C2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49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80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A6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82121"/>
    <w:multiLevelType w:val="hybridMultilevel"/>
    <w:tmpl w:val="FC9C82F6"/>
    <w:lvl w:ilvl="0" w:tplc="718A32C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F163BA0" w:tentative="1">
      <w:start w:val="1"/>
      <w:numFmt w:val="lowerLetter"/>
      <w:lvlText w:val="%2."/>
      <w:lvlJc w:val="left"/>
      <w:pPr>
        <w:ind w:left="1440" w:hanging="360"/>
      </w:pPr>
    </w:lvl>
    <w:lvl w:ilvl="2" w:tplc="C86C5268" w:tentative="1">
      <w:start w:val="1"/>
      <w:numFmt w:val="lowerRoman"/>
      <w:lvlText w:val="%3."/>
      <w:lvlJc w:val="right"/>
      <w:pPr>
        <w:ind w:left="2160" w:hanging="180"/>
      </w:pPr>
    </w:lvl>
    <w:lvl w:ilvl="3" w:tplc="E36A09E6" w:tentative="1">
      <w:start w:val="1"/>
      <w:numFmt w:val="decimal"/>
      <w:lvlText w:val="%4."/>
      <w:lvlJc w:val="left"/>
      <w:pPr>
        <w:ind w:left="2880" w:hanging="360"/>
      </w:pPr>
    </w:lvl>
    <w:lvl w:ilvl="4" w:tplc="3C40E272" w:tentative="1">
      <w:start w:val="1"/>
      <w:numFmt w:val="lowerLetter"/>
      <w:lvlText w:val="%5."/>
      <w:lvlJc w:val="left"/>
      <w:pPr>
        <w:ind w:left="3600" w:hanging="360"/>
      </w:pPr>
    </w:lvl>
    <w:lvl w:ilvl="5" w:tplc="DFB0120A" w:tentative="1">
      <w:start w:val="1"/>
      <w:numFmt w:val="lowerRoman"/>
      <w:lvlText w:val="%6."/>
      <w:lvlJc w:val="right"/>
      <w:pPr>
        <w:ind w:left="4320" w:hanging="180"/>
      </w:pPr>
    </w:lvl>
    <w:lvl w:ilvl="6" w:tplc="8E78314A" w:tentative="1">
      <w:start w:val="1"/>
      <w:numFmt w:val="decimal"/>
      <w:lvlText w:val="%7."/>
      <w:lvlJc w:val="left"/>
      <w:pPr>
        <w:ind w:left="5040" w:hanging="360"/>
      </w:pPr>
    </w:lvl>
    <w:lvl w:ilvl="7" w:tplc="5F8883A6" w:tentative="1">
      <w:start w:val="1"/>
      <w:numFmt w:val="lowerLetter"/>
      <w:lvlText w:val="%8."/>
      <w:lvlJc w:val="left"/>
      <w:pPr>
        <w:ind w:left="5760" w:hanging="360"/>
      </w:pPr>
    </w:lvl>
    <w:lvl w:ilvl="8" w:tplc="1BACE3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37425">
    <w:abstractNumId w:val="0"/>
  </w:num>
  <w:num w:numId="2" w16cid:durableId="71313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2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2DC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2CD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C13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940"/>
    <w:rsid w:val="001B75B8"/>
    <w:rsid w:val="001C1230"/>
    <w:rsid w:val="001C547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00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C1B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4D1"/>
    <w:rsid w:val="00267841"/>
    <w:rsid w:val="002710C3"/>
    <w:rsid w:val="002734D6"/>
    <w:rsid w:val="00274C45"/>
    <w:rsid w:val="00274DB9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4E79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FAB"/>
    <w:rsid w:val="002E21B8"/>
    <w:rsid w:val="002E3835"/>
    <w:rsid w:val="002E554D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4AF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A43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524"/>
    <w:rsid w:val="003D726D"/>
    <w:rsid w:val="003E0875"/>
    <w:rsid w:val="003E0BB8"/>
    <w:rsid w:val="003E5CA2"/>
    <w:rsid w:val="003E6CB0"/>
    <w:rsid w:val="003F1F5E"/>
    <w:rsid w:val="003F286A"/>
    <w:rsid w:val="003F4B4B"/>
    <w:rsid w:val="003F77F8"/>
    <w:rsid w:val="00400ACD"/>
    <w:rsid w:val="00403B15"/>
    <w:rsid w:val="00403E8A"/>
    <w:rsid w:val="00406F4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3"/>
    <w:rsid w:val="004324E9"/>
    <w:rsid w:val="0043267E"/>
    <w:rsid w:val="004350F3"/>
    <w:rsid w:val="00436980"/>
    <w:rsid w:val="00441016"/>
    <w:rsid w:val="00441F2F"/>
    <w:rsid w:val="0044228B"/>
    <w:rsid w:val="00445266"/>
    <w:rsid w:val="00447018"/>
    <w:rsid w:val="00450561"/>
    <w:rsid w:val="00450A40"/>
    <w:rsid w:val="00451D7C"/>
    <w:rsid w:val="00452FC3"/>
    <w:rsid w:val="00454715"/>
    <w:rsid w:val="00455936"/>
    <w:rsid w:val="00455ACE"/>
    <w:rsid w:val="0046024D"/>
    <w:rsid w:val="00461B69"/>
    <w:rsid w:val="00462B3D"/>
    <w:rsid w:val="00474927"/>
    <w:rsid w:val="00475913"/>
    <w:rsid w:val="00480080"/>
    <w:rsid w:val="004824A7"/>
    <w:rsid w:val="00483AF0"/>
    <w:rsid w:val="00484167"/>
    <w:rsid w:val="00487DEE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149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85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CA8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4C7"/>
    <w:rsid w:val="00595745"/>
    <w:rsid w:val="005A0E18"/>
    <w:rsid w:val="005A12A5"/>
    <w:rsid w:val="005A3790"/>
    <w:rsid w:val="005A3CCB"/>
    <w:rsid w:val="005A6639"/>
    <w:rsid w:val="005A6D13"/>
    <w:rsid w:val="005B031F"/>
    <w:rsid w:val="005B3298"/>
    <w:rsid w:val="005B3C13"/>
    <w:rsid w:val="005B5516"/>
    <w:rsid w:val="005B5C11"/>
    <w:rsid w:val="005B5D2B"/>
    <w:rsid w:val="005C1496"/>
    <w:rsid w:val="005C17C5"/>
    <w:rsid w:val="005C2B21"/>
    <w:rsid w:val="005C2C00"/>
    <w:rsid w:val="005C4C6F"/>
    <w:rsid w:val="005C5127"/>
    <w:rsid w:val="005C7B9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4C47"/>
    <w:rsid w:val="00605F7B"/>
    <w:rsid w:val="00607E64"/>
    <w:rsid w:val="006106E9"/>
    <w:rsid w:val="0061159E"/>
    <w:rsid w:val="00614633"/>
    <w:rsid w:val="00614BC8"/>
    <w:rsid w:val="006151FB"/>
    <w:rsid w:val="00617411"/>
    <w:rsid w:val="00624055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732"/>
    <w:rsid w:val="006E30A8"/>
    <w:rsid w:val="006E45B0"/>
    <w:rsid w:val="006E5692"/>
    <w:rsid w:val="006F24F4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2A1"/>
    <w:rsid w:val="007A331F"/>
    <w:rsid w:val="007A3844"/>
    <w:rsid w:val="007A4381"/>
    <w:rsid w:val="007A5466"/>
    <w:rsid w:val="007A7EC1"/>
    <w:rsid w:val="007B23C0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19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EA4"/>
    <w:rsid w:val="00815C9D"/>
    <w:rsid w:val="008170E2"/>
    <w:rsid w:val="00817F55"/>
    <w:rsid w:val="00823E4C"/>
    <w:rsid w:val="00827749"/>
    <w:rsid w:val="00827B7E"/>
    <w:rsid w:val="00830EEB"/>
    <w:rsid w:val="008347A9"/>
    <w:rsid w:val="00835628"/>
    <w:rsid w:val="00835E90"/>
    <w:rsid w:val="00840EF2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94C"/>
    <w:rsid w:val="008845BA"/>
    <w:rsid w:val="00884AE3"/>
    <w:rsid w:val="00885203"/>
    <w:rsid w:val="008859CA"/>
    <w:rsid w:val="008861EE"/>
    <w:rsid w:val="00890B59"/>
    <w:rsid w:val="00892B71"/>
    <w:rsid w:val="008930D7"/>
    <w:rsid w:val="008947A7"/>
    <w:rsid w:val="00897E80"/>
    <w:rsid w:val="008A04FA"/>
    <w:rsid w:val="008A18AC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B6E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0E3"/>
    <w:rsid w:val="0093417F"/>
    <w:rsid w:val="00934AC2"/>
    <w:rsid w:val="009375BB"/>
    <w:rsid w:val="009418E9"/>
    <w:rsid w:val="00946044"/>
    <w:rsid w:val="0094653B"/>
    <w:rsid w:val="009465AB"/>
    <w:rsid w:val="00946DEE"/>
    <w:rsid w:val="0095201B"/>
    <w:rsid w:val="00952306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5D9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BC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049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042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9B8"/>
    <w:rsid w:val="00AB474B"/>
    <w:rsid w:val="00AB5CCC"/>
    <w:rsid w:val="00AB74E2"/>
    <w:rsid w:val="00AC00AB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A49"/>
    <w:rsid w:val="00BE3634"/>
    <w:rsid w:val="00BE3E30"/>
    <w:rsid w:val="00BE5274"/>
    <w:rsid w:val="00BE71CD"/>
    <w:rsid w:val="00BE7748"/>
    <w:rsid w:val="00BE7BDA"/>
    <w:rsid w:val="00BF0548"/>
    <w:rsid w:val="00BF0C4E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A73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2D0"/>
    <w:rsid w:val="00CC7131"/>
    <w:rsid w:val="00CC7B9E"/>
    <w:rsid w:val="00CD06CA"/>
    <w:rsid w:val="00CD076A"/>
    <w:rsid w:val="00CD180C"/>
    <w:rsid w:val="00CD2CF4"/>
    <w:rsid w:val="00CD37DA"/>
    <w:rsid w:val="00CD4F2C"/>
    <w:rsid w:val="00CD731C"/>
    <w:rsid w:val="00CE08E8"/>
    <w:rsid w:val="00CE0A79"/>
    <w:rsid w:val="00CE2133"/>
    <w:rsid w:val="00CE245D"/>
    <w:rsid w:val="00CE300F"/>
    <w:rsid w:val="00CE3582"/>
    <w:rsid w:val="00CE3795"/>
    <w:rsid w:val="00CE3E20"/>
    <w:rsid w:val="00CF3B61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C12"/>
    <w:rsid w:val="00D30534"/>
    <w:rsid w:val="00D35728"/>
    <w:rsid w:val="00D359A7"/>
    <w:rsid w:val="00D37BCF"/>
    <w:rsid w:val="00D40F93"/>
    <w:rsid w:val="00D42277"/>
    <w:rsid w:val="00D43772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71A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451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C80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FCA"/>
    <w:rsid w:val="00FC5388"/>
    <w:rsid w:val="00FC726C"/>
    <w:rsid w:val="00FD1B4B"/>
    <w:rsid w:val="00FD1B94"/>
    <w:rsid w:val="00FD7371"/>
    <w:rsid w:val="00FE0A0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DCE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EB0B0D-D41C-4CBF-AEB3-2CF7C45E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839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9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94C"/>
    <w:rPr>
      <w:b/>
      <w:bCs/>
    </w:rPr>
  </w:style>
  <w:style w:type="paragraph" w:styleId="Revision">
    <w:name w:val="Revision"/>
    <w:hidden/>
    <w:uiPriority w:val="99"/>
    <w:semiHidden/>
    <w:rsid w:val="00624055"/>
    <w:rPr>
      <w:sz w:val="24"/>
      <w:szCs w:val="24"/>
    </w:rPr>
  </w:style>
  <w:style w:type="character" w:styleId="Hyperlink">
    <w:name w:val="Hyperlink"/>
    <w:basedOn w:val="DefaultParagraphFont"/>
    <w:unhideWhenUsed/>
    <w:rsid w:val="00566C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07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2236</Characters>
  <Application>Microsoft Office Word</Application>
  <DocSecurity>4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SB02186 (Committee Report (Unamended))</vt:lpstr>
    </vt:vector>
  </TitlesOfParts>
  <Company>State of Texas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28596</dc:subject>
  <dc:creator>State of Texas</dc:creator>
  <dc:description>SB 2186 by Zaffirini-(H)Public Health</dc:description>
  <cp:lastModifiedBy>Damian Duarte</cp:lastModifiedBy>
  <cp:revision>2</cp:revision>
  <cp:lastPrinted>2003-11-26T17:21:00Z</cp:lastPrinted>
  <dcterms:created xsi:type="dcterms:W3CDTF">2023-05-09T21:46:00Z</dcterms:created>
  <dcterms:modified xsi:type="dcterms:W3CDTF">2023-05-09T21:46:00Z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23.126.1151</vt:lpwstr>
  </property>
</Properties>
</file>