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D6036" w14:paraId="7280CE92" w14:textId="77777777" w:rsidTr="00345119">
        <w:tc>
          <w:tcPr>
            <w:tcW w:w="9576" w:type="dxa"/>
            <w:noWrap/>
          </w:tcPr>
          <w:p w14:paraId="00B673B0" w14:textId="77777777" w:rsidR="008423E4" w:rsidRPr="0022177D" w:rsidRDefault="007A4061" w:rsidP="00B25239">
            <w:pPr>
              <w:pStyle w:val="Heading1"/>
            </w:pPr>
            <w:r w:rsidRPr="00631897">
              <w:t>BILL ANALYSIS</w:t>
            </w:r>
          </w:p>
        </w:tc>
      </w:tr>
    </w:tbl>
    <w:p w14:paraId="5281BA9D" w14:textId="77777777" w:rsidR="008423E4" w:rsidRPr="0022177D" w:rsidRDefault="008423E4" w:rsidP="00B25239">
      <w:pPr>
        <w:jc w:val="center"/>
      </w:pPr>
    </w:p>
    <w:p w14:paraId="55E0FCEA" w14:textId="77777777" w:rsidR="008423E4" w:rsidRPr="00B31F0E" w:rsidRDefault="008423E4" w:rsidP="00B25239"/>
    <w:p w14:paraId="33537BB8" w14:textId="77777777" w:rsidR="008423E4" w:rsidRPr="00742794" w:rsidRDefault="008423E4" w:rsidP="00B2523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D6036" w14:paraId="29E2F526" w14:textId="77777777" w:rsidTr="00345119">
        <w:tc>
          <w:tcPr>
            <w:tcW w:w="9576" w:type="dxa"/>
          </w:tcPr>
          <w:p w14:paraId="24BE0C1A" w14:textId="7C2F58D4" w:rsidR="008423E4" w:rsidRPr="00861995" w:rsidRDefault="007A4061" w:rsidP="00B25239">
            <w:pPr>
              <w:jc w:val="right"/>
            </w:pPr>
            <w:r>
              <w:t>S.B. 2196</w:t>
            </w:r>
          </w:p>
        </w:tc>
      </w:tr>
      <w:tr w:rsidR="007D6036" w14:paraId="6AC053D7" w14:textId="77777777" w:rsidTr="00345119">
        <w:tc>
          <w:tcPr>
            <w:tcW w:w="9576" w:type="dxa"/>
          </w:tcPr>
          <w:p w14:paraId="02E37306" w14:textId="34FAD8CC" w:rsidR="008423E4" w:rsidRPr="00861995" w:rsidRDefault="007A4061" w:rsidP="00B25239">
            <w:pPr>
              <w:jc w:val="right"/>
            </w:pPr>
            <w:r>
              <w:t xml:space="preserve">By: </w:t>
            </w:r>
            <w:r w:rsidR="00B84580">
              <w:t>Hancock</w:t>
            </w:r>
          </w:p>
        </w:tc>
      </w:tr>
      <w:tr w:rsidR="007D6036" w14:paraId="6A8BD47A" w14:textId="77777777" w:rsidTr="00345119">
        <w:tc>
          <w:tcPr>
            <w:tcW w:w="9576" w:type="dxa"/>
          </w:tcPr>
          <w:p w14:paraId="6F5D54D1" w14:textId="05518258" w:rsidR="008423E4" w:rsidRPr="00861995" w:rsidRDefault="007A4061" w:rsidP="00B25239">
            <w:pPr>
              <w:jc w:val="right"/>
            </w:pPr>
            <w:r>
              <w:t>Environmental Regulation</w:t>
            </w:r>
          </w:p>
        </w:tc>
      </w:tr>
      <w:tr w:rsidR="007D6036" w14:paraId="284AD010" w14:textId="77777777" w:rsidTr="00345119">
        <w:tc>
          <w:tcPr>
            <w:tcW w:w="9576" w:type="dxa"/>
          </w:tcPr>
          <w:p w14:paraId="11634495" w14:textId="04C0B5EF" w:rsidR="008423E4" w:rsidRDefault="007A4061" w:rsidP="00B25239">
            <w:pPr>
              <w:jc w:val="right"/>
            </w:pPr>
            <w:r>
              <w:t>Committee Report (Unamended)</w:t>
            </w:r>
          </w:p>
        </w:tc>
      </w:tr>
    </w:tbl>
    <w:p w14:paraId="591CB7AC" w14:textId="77777777" w:rsidR="008423E4" w:rsidRDefault="008423E4" w:rsidP="00B25239">
      <w:pPr>
        <w:tabs>
          <w:tab w:val="right" w:pos="9360"/>
        </w:tabs>
      </w:pPr>
    </w:p>
    <w:p w14:paraId="3DBF34B9" w14:textId="77777777" w:rsidR="008423E4" w:rsidRDefault="008423E4" w:rsidP="00B25239"/>
    <w:p w14:paraId="6B5684FB" w14:textId="77777777" w:rsidR="008423E4" w:rsidRDefault="008423E4" w:rsidP="00B2523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D6036" w14:paraId="3A90019A" w14:textId="77777777" w:rsidTr="00345119">
        <w:tc>
          <w:tcPr>
            <w:tcW w:w="9576" w:type="dxa"/>
          </w:tcPr>
          <w:p w14:paraId="713880F9" w14:textId="77777777" w:rsidR="008423E4" w:rsidRPr="00A8133F" w:rsidRDefault="007A4061" w:rsidP="00B2523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FB8D0F6" w14:textId="77777777" w:rsidR="008423E4" w:rsidRDefault="008423E4" w:rsidP="00B25239"/>
          <w:p w14:paraId="4D8FAA23" w14:textId="77777777" w:rsidR="008423E4" w:rsidRDefault="007A4061" w:rsidP="00B25239">
            <w:pPr>
              <w:pStyle w:val="Header"/>
              <w:jc w:val="both"/>
            </w:pPr>
            <w:r>
              <w:t xml:space="preserve">As Texas' population continues to grow, a key element affecting the sustainability of future development is the availability of construction materials. These materials, </w:t>
            </w:r>
            <w:r w:rsidR="007C5487">
              <w:t>including</w:t>
            </w:r>
            <w:r>
              <w:t xml:space="preserve"> sand, aggregate, crushed rock</w:t>
            </w:r>
            <w:r w:rsidR="007C5487">
              <w:t>,</w:t>
            </w:r>
            <w:r>
              <w:t xml:space="preserve"> and stone, are essential for residential, comm</w:t>
            </w:r>
            <w:r>
              <w:t>ercial, industrial,</w:t>
            </w:r>
            <w:r w:rsidR="002F52D9">
              <w:t xml:space="preserve"> </w:t>
            </w:r>
            <w:r>
              <w:t>and public infrastructure project</w:t>
            </w:r>
            <w:r w:rsidR="007C5487">
              <w:t>s</w:t>
            </w:r>
            <w:r>
              <w:t>. It is important for the state to be well informed on the availability of these resources. S.B. 2196</w:t>
            </w:r>
            <w:r w:rsidR="002F52D9">
              <w:t xml:space="preserve"> seeks to</w:t>
            </w:r>
            <w:r>
              <w:t xml:space="preserve"> require </w:t>
            </w:r>
            <w:r w:rsidR="00404578">
              <w:t>T</w:t>
            </w:r>
            <w:r>
              <w:t xml:space="preserve">he </w:t>
            </w:r>
            <w:r w:rsidR="00404578">
              <w:t xml:space="preserve">University of Texas </w:t>
            </w:r>
            <w:r>
              <w:t xml:space="preserve">Bureau of Economic Geology to conduct a study to identify </w:t>
            </w:r>
            <w:r w:rsidR="002F52D9">
              <w:t xml:space="preserve">certain information relating to aggregate production operations, including </w:t>
            </w:r>
            <w:r>
              <w:t xml:space="preserve">locations that are suitable for </w:t>
            </w:r>
            <w:r w:rsidR="002F52D9">
              <w:t>such</w:t>
            </w:r>
            <w:r>
              <w:t xml:space="preserve"> operations</w:t>
            </w:r>
            <w:r w:rsidR="00DE0CF6">
              <w:t>,</w:t>
            </w:r>
            <w:r w:rsidR="002F52D9">
              <w:t xml:space="preserve"> and to </w:t>
            </w:r>
            <w:r w:rsidR="002F52D9" w:rsidRPr="001D17BD">
              <w:t>develop and maintain a database</w:t>
            </w:r>
            <w:r w:rsidR="002F52D9">
              <w:t xml:space="preserve"> </w:t>
            </w:r>
            <w:r w:rsidR="002F52D9" w:rsidRPr="001D17BD">
              <w:t>that</w:t>
            </w:r>
            <w:r w:rsidR="002F52D9">
              <w:t xml:space="preserve"> </w:t>
            </w:r>
            <w:r w:rsidR="002F52D9" w:rsidRPr="001D17BD">
              <w:t xml:space="preserve">maps </w:t>
            </w:r>
            <w:r w:rsidR="002F52D9">
              <w:t xml:space="preserve">identified </w:t>
            </w:r>
            <w:r w:rsidR="002F52D9" w:rsidRPr="001D17BD">
              <w:t>locations</w:t>
            </w:r>
            <w:r w:rsidR="002F52D9">
              <w:t>.</w:t>
            </w:r>
            <w:r w:rsidR="002F52D9" w:rsidRPr="001D17BD">
              <w:t xml:space="preserve"> </w:t>
            </w:r>
          </w:p>
          <w:p w14:paraId="6430ADFF" w14:textId="4A738A5B" w:rsidR="00B25239" w:rsidRPr="00E26B13" w:rsidRDefault="00B25239" w:rsidP="00B25239">
            <w:pPr>
              <w:pStyle w:val="Header"/>
              <w:jc w:val="both"/>
              <w:rPr>
                <w:b/>
              </w:rPr>
            </w:pPr>
          </w:p>
        </w:tc>
      </w:tr>
      <w:tr w:rsidR="007D6036" w14:paraId="7F98DAD2" w14:textId="77777777" w:rsidTr="00345119">
        <w:tc>
          <w:tcPr>
            <w:tcW w:w="9576" w:type="dxa"/>
          </w:tcPr>
          <w:p w14:paraId="419A5559" w14:textId="77777777" w:rsidR="0017725B" w:rsidRDefault="007A4061" w:rsidP="00B252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8C92075" w14:textId="77777777" w:rsidR="0017725B" w:rsidRDefault="0017725B" w:rsidP="00B25239">
            <w:pPr>
              <w:rPr>
                <w:b/>
                <w:u w:val="single"/>
              </w:rPr>
            </w:pPr>
          </w:p>
          <w:p w14:paraId="2611748A" w14:textId="06B093B3" w:rsidR="0068651D" w:rsidRPr="0068651D" w:rsidRDefault="007A4061" w:rsidP="00B25239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950E61F" w14:textId="77777777" w:rsidR="0017725B" w:rsidRPr="0017725B" w:rsidRDefault="0017725B" w:rsidP="00B25239">
            <w:pPr>
              <w:rPr>
                <w:b/>
                <w:u w:val="single"/>
              </w:rPr>
            </w:pPr>
          </w:p>
        </w:tc>
      </w:tr>
      <w:tr w:rsidR="007D6036" w14:paraId="249B200F" w14:textId="77777777" w:rsidTr="00345119">
        <w:tc>
          <w:tcPr>
            <w:tcW w:w="9576" w:type="dxa"/>
          </w:tcPr>
          <w:p w14:paraId="260FA6E6" w14:textId="77777777" w:rsidR="008423E4" w:rsidRPr="00A8133F" w:rsidRDefault="007A4061" w:rsidP="00B2523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14:paraId="41827BBA" w14:textId="77777777" w:rsidR="008423E4" w:rsidRDefault="008423E4" w:rsidP="00B25239"/>
          <w:p w14:paraId="3BA09DC5" w14:textId="1BD1506E" w:rsidR="0068651D" w:rsidRDefault="007A4061" w:rsidP="00B252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F7F6039" w14:textId="77777777" w:rsidR="008423E4" w:rsidRPr="00E21FDC" w:rsidRDefault="008423E4" w:rsidP="00B25239">
            <w:pPr>
              <w:rPr>
                <w:b/>
              </w:rPr>
            </w:pPr>
          </w:p>
        </w:tc>
      </w:tr>
      <w:tr w:rsidR="007D6036" w14:paraId="0C9CC6F6" w14:textId="77777777" w:rsidTr="00345119">
        <w:tc>
          <w:tcPr>
            <w:tcW w:w="9576" w:type="dxa"/>
          </w:tcPr>
          <w:p w14:paraId="6E299F83" w14:textId="77777777" w:rsidR="008423E4" w:rsidRPr="00A8133F" w:rsidRDefault="007A4061" w:rsidP="00B2523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DD94A0B" w14:textId="77777777" w:rsidR="008423E4" w:rsidRDefault="008423E4" w:rsidP="00B25239"/>
          <w:p w14:paraId="09413C71" w14:textId="68C99E0A" w:rsidR="00126B18" w:rsidRDefault="007A4061" w:rsidP="00B252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34648">
              <w:t>S.B. 2196</w:t>
            </w:r>
            <w:r w:rsidR="0068651D">
              <w:t xml:space="preserve"> amends the </w:t>
            </w:r>
            <w:r w:rsidR="0068651D" w:rsidRPr="0068651D">
              <w:t>Education Code</w:t>
            </w:r>
            <w:r w:rsidR="0068651D">
              <w:t xml:space="preserve"> to require </w:t>
            </w:r>
            <w:r w:rsidR="0068651D" w:rsidRPr="0068651D">
              <w:t>The University of Texas Bureau of Economic Geology</w:t>
            </w:r>
            <w:r w:rsidR="0068651D">
              <w:t xml:space="preserve"> to </w:t>
            </w:r>
            <w:r>
              <w:t>do the following</w:t>
            </w:r>
            <w:r w:rsidR="00ED0757">
              <w:t xml:space="preserve"> with respect to aggregate production operations</w:t>
            </w:r>
            <w:r>
              <w:t>:</w:t>
            </w:r>
          </w:p>
          <w:p w14:paraId="298078E3" w14:textId="579FBAEC" w:rsidR="0068651D" w:rsidRDefault="007A4061" w:rsidP="00B2523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conduct a study to identify </w:t>
            </w:r>
            <w:r w:rsidRPr="0068651D">
              <w:t xml:space="preserve">locations in </w:t>
            </w:r>
            <w:r w:rsidR="001D17BD">
              <w:t>Texas</w:t>
            </w:r>
            <w:r w:rsidRPr="0068651D">
              <w:t xml:space="preserve"> suitable for aggregate production operations and</w:t>
            </w:r>
            <w:r>
              <w:t xml:space="preserve"> </w:t>
            </w:r>
            <w:r w:rsidRPr="0068651D">
              <w:t xml:space="preserve">existing land uses or planning policies </w:t>
            </w:r>
            <w:r w:rsidRPr="0068651D">
              <w:t xml:space="preserve">of political subdivisions that could result in </w:t>
            </w:r>
            <w:r>
              <w:t xml:space="preserve">such </w:t>
            </w:r>
            <w:r w:rsidRPr="0068651D">
              <w:t>a location becoming incompatible with use as an aggregate production operation</w:t>
            </w:r>
            <w:r w:rsidR="00126B18">
              <w:t>;</w:t>
            </w:r>
            <w:r>
              <w:t xml:space="preserve"> </w:t>
            </w:r>
          </w:p>
          <w:p w14:paraId="2BCE4EBD" w14:textId="3E735FAF" w:rsidR="00126B18" w:rsidRDefault="007A4061" w:rsidP="00B2523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1D17BD">
              <w:t>develop and maintain a database</w:t>
            </w:r>
            <w:r w:rsidR="005F2856">
              <w:t xml:space="preserve"> that is accessible to political subdivisions and</w:t>
            </w:r>
            <w:r w:rsidRPr="001D17BD">
              <w:t xml:space="preserve"> that</w:t>
            </w:r>
            <w:r>
              <w:t xml:space="preserve"> </w:t>
            </w:r>
            <w:r w:rsidRPr="001D17BD">
              <w:t>maps locations identified</w:t>
            </w:r>
            <w:r>
              <w:t xml:space="preserve"> </w:t>
            </w:r>
            <w:r w:rsidRPr="001D17BD">
              <w:t>in Texas su</w:t>
            </w:r>
            <w:r w:rsidRPr="001D17BD">
              <w:t>itable for aggregate production operations</w:t>
            </w:r>
            <w:r w:rsidR="005F2856">
              <w:t xml:space="preserve"> and</w:t>
            </w:r>
            <w:r>
              <w:t xml:space="preserve"> </w:t>
            </w:r>
            <w:r w:rsidRPr="001D17BD">
              <w:t xml:space="preserve">all active aggregate production operations in </w:t>
            </w:r>
            <w:r>
              <w:t>Texas; and</w:t>
            </w:r>
          </w:p>
          <w:p w14:paraId="294484BA" w14:textId="5269528C" w:rsidR="0068651D" w:rsidRDefault="007A4061" w:rsidP="00B2523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update the study and database</w:t>
            </w:r>
            <w:r w:rsidR="001D17BD">
              <w:t xml:space="preserve"> </w:t>
            </w:r>
            <w:r w:rsidR="006D3731" w:rsidRPr="006D3731">
              <w:t>not less than once every 10 years</w:t>
            </w:r>
            <w:r w:rsidR="006D3731">
              <w:t xml:space="preserve">. </w:t>
            </w:r>
          </w:p>
          <w:p w14:paraId="29DCF3E7" w14:textId="3F10315D" w:rsidR="006639CB" w:rsidRDefault="007A4061" w:rsidP="00B252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6D3731">
              <w:t xml:space="preserve"> authorizes</w:t>
            </w:r>
            <w:r>
              <w:t xml:space="preserve"> </w:t>
            </w:r>
            <w:r w:rsidR="0002202F">
              <w:t>the</w:t>
            </w:r>
            <w:r w:rsidRPr="006639CB">
              <w:t xml:space="preserve"> </w:t>
            </w:r>
            <w:r w:rsidR="0002202F">
              <w:t>b</w:t>
            </w:r>
            <w:r w:rsidRPr="006639CB">
              <w:t xml:space="preserve">ureau </w:t>
            </w:r>
            <w:r>
              <w:t xml:space="preserve">to cooperate with </w:t>
            </w:r>
            <w:r w:rsidR="00C96AC9">
              <w:t xml:space="preserve">the Texas Commission on Environmental Quality, the Texas Water Development Board, and </w:t>
            </w:r>
            <w:r w:rsidRPr="006639CB">
              <w:t xml:space="preserve">any </w:t>
            </w:r>
            <w:r w:rsidR="00C96AC9">
              <w:t xml:space="preserve">other </w:t>
            </w:r>
            <w:r w:rsidRPr="006639CB">
              <w:t>state agency, political subdivision, or university with access to information related to aggregate production operations and</w:t>
            </w:r>
            <w:r>
              <w:t xml:space="preserve"> </w:t>
            </w:r>
            <w:r w:rsidRPr="006639CB">
              <w:t>federal agencies or private entitie</w:t>
            </w:r>
            <w:r w:rsidRPr="006639CB">
              <w:t xml:space="preserve">s as appropriate to fulfill the </w:t>
            </w:r>
            <w:r w:rsidR="008C57A1">
              <w:t xml:space="preserve">bill's </w:t>
            </w:r>
            <w:r w:rsidRPr="006639CB">
              <w:t>requirements</w:t>
            </w:r>
            <w:r>
              <w:t xml:space="preserve">. The bill requires such an </w:t>
            </w:r>
            <w:r w:rsidRPr="006639CB">
              <w:t>agency, political subdivision, or university</w:t>
            </w:r>
            <w:r>
              <w:t xml:space="preserve"> to provide the bureau </w:t>
            </w:r>
            <w:r w:rsidRPr="006639CB">
              <w:t xml:space="preserve">available information </w:t>
            </w:r>
            <w:r w:rsidR="0002202F">
              <w:t xml:space="preserve">on request </w:t>
            </w:r>
            <w:r w:rsidRPr="006639CB">
              <w:t xml:space="preserve">as necessary to fulfill </w:t>
            </w:r>
            <w:r w:rsidR="008C57A1">
              <w:t>the bill's</w:t>
            </w:r>
            <w:r w:rsidRPr="006639CB">
              <w:t xml:space="preserve"> requirements</w:t>
            </w:r>
            <w:r>
              <w:t xml:space="preserve">. </w:t>
            </w:r>
          </w:p>
          <w:p w14:paraId="4E3F54D3" w14:textId="77777777" w:rsidR="006639CB" w:rsidRDefault="006639CB" w:rsidP="00B252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56BC4D" w14:textId="070C28B9" w:rsidR="00637826" w:rsidRDefault="007A4061" w:rsidP="00B252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34648">
              <w:t>S.B. 2196</w:t>
            </w:r>
            <w:r w:rsidR="006639CB">
              <w:t xml:space="preserve"> requires </w:t>
            </w:r>
            <w:r w:rsidR="0002202F">
              <w:t>the</w:t>
            </w:r>
            <w:r w:rsidR="006639CB" w:rsidRPr="006639CB">
              <w:t xml:space="preserve"> </w:t>
            </w:r>
            <w:r w:rsidR="0002202F">
              <w:t>b</w:t>
            </w:r>
            <w:r w:rsidR="006639CB" w:rsidRPr="006639CB">
              <w:t>ureau</w:t>
            </w:r>
            <w:r w:rsidR="00126B18">
              <w:t>,</w:t>
            </w:r>
            <w:r w:rsidR="006639CB">
              <w:t xml:space="preserve"> n</w:t>
            </w:r>
            <w:r w:rsidR="006639CB" w:rsidRPr="006639CB">
              <w:t>ot later than December 1, 2025</w:t>
            </w:r>
            <w:r w:rsidR="00126B18">
              <w:t>,</w:t>
            </w:r>
            <w:r w:rsidR="006639CB">
              <w:t xml:space="preserve"> to submit to the legislature a report that contains a summary of the study</w:t>
            </w:r>
            <w:r w:rsidR="00126B18">
              <w:t>,</w:t>
            </w:r>
            <w:r w:rsidR="006639CB">
              <w:t xml:space="preserve"> a map </w:t>
            </w:r>
            <w:r w:rsidR="006639CB" w:rsidRPr="006639CB">
              <w:t xml:space="preserve">containing the </w:t>
            </w:r>
            <w:r w:rsidR="0002202F">
              <w:t xml:space="preserve">identified </w:t>
            </w:r>
            <w:r w:rsidR="006639CB" w:rsidRPr="006639CB">
              <w:t>locations</w:t>
            </w:r>
            <w:r w:rsidR="00B84D5F">
              <w:t xml:space="preserve"> of aggregate production operations</w:t>
            </w:r>
            <w:r w:rsidR="00126B18">
              <w:t>,</w:t>
            </w:r>
            <w:r w:rsidR="006639CB">
              <w:t xml:space="preserve"> </w:t>
            </w:r>
            <w:r w:rsidR="006639CB" w:rsidRPr="006639CB">
              <w:t>and</w:t>
            </w:r>
            <w:r w:rsidR="006639CB">
              <w:t xml:space="preserve"> </w:t>
            </w:r>
            <w:r w:rsidR="006639CB" w:rsidRPr="006639CB">
              <w:t>any recommendations for legislative action necessary to facilitate, if appropriate, preservation for aggregate production operations</w:t>
            </w:r>
            <w:r w:rsidR="00B84D5F">
              <w:t xml:space="preserve"> at identified locations</w:t>
            </w:r>
            <w:r w:rsidR="00C96AC9">
              <w:t>, including any recommendations regarding existing land use or planning policies of political subdivisions</w:t>
            </w:r>
            <w:r w:rsidR="006639CB" w:rsidRPr="006639CB">
              <w:t>.</w:t>
            </w:r>
            <w:r w:rsidR="00C44827">
              <w:t xml:space="preserve"> Implementation of a provision of this bill by the bureau is mandatory only if a specific appropriation is made for that purpose. </w:t>
            </w:r>
            <w:r w:rsidR="00547563">
              <w:t xml:space="preserve">The bill authorizes the bureau to accept </w:t>
            </w:r>
            <w:r w:rsidR="00547563" w:rsidRPr="00547563">
              <w:t>gifts, grants, and donations from sources other than the state for the purpose of implementing</w:t>
            </w:r>
            <w:r w:rsidR="00547563">
              <w:t xml:space="preserve"> the </w:t>
            </w:r>
            <w:r w:rsidR="00BB50F1">
              <w:t>bill's provisions</w:t>
            </w:r>
            <w:r w:rsidR="00547563">
              <w:t>.</w:t>
            </w:r>
          </w:p>
          <w:p w14:paraId="5737A409" w14:textId="77777777" w:rsidR="008423E4" w:rsidRPr="00835628" w:rsidRDefault="008423E4" w:rsidP="00B25239">
            <w:pPr>
              <w:rPr>
                <w:b/>
              </w:rPr>
            </w:pPr>
          </w:p>
        </w:tc>
      </w:tr>
      <w:tr w:rsidR="007D6036" w14:paraId="7B3ABE27" w14:textId="77777777" w:rsidTr="00345119">
        <w:tc>
          <w:tcPr>
            <w:tcW w:w="9576" w:type="dxa"/>
          </w:tcPr>
          <w:p w14:paraId="75898F19" w14:textId="77777777" w:rsidR="008423E4" w:rsidRPr="00A8133F" w:rsidRDefault="007A4061" w:rsidP="00B2523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943BA14" w14:textId="77777777" w:rsidR="008423E4" w:rsidRDefault="008423E4" w:rsidP="00B25239"/>
          <w:p w14:paraId="76465ED0" w14:textId="480758D6" w:rsidR="008423E4" w:rsidRPr="003624F2" w:rsidRDefault="007A4061" w:rsidP="00B252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4B051B2" w14:textId="77777777" w:rsidR="008423E4" w:rsidRPr="00233FDB" w:rsidRDefault="008423E4" w:rsidP="00B25239">
            <w:pPr>
              <w:rPr>
                <w:b/>
              </w:rPr>
            </w:pPr>
          </w:p>
        </w:tc>
      </w:tr>
    </w:tbl>
    <w:p w14:paraId="179DC99E" w14:textId="77777777" w:rsidR="008423E4" w:rsidRPr="00BE0E75" w:rsidRDefault="008423E4" w:rsidP="00B25239">
      <w:pPr>
        <w:jc w:val="both"/>
        <w:rPr>
          <w:rFonts w:ascii="Arial" w:hAnsi="Arial"/>
          <w:sz w:val="16"/>
          <w:szCs w:val="16"/>
        </w:rPr>
      </w:pPr>
    </w:p>
    <w:p w14:paraId="1B4C7829" w14:textId="77777777" w:rsidR="004108C3" w:rsidRPr="008423E4" w:rsidRDefault="004108C3" w:rsidP="00B2523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DE00" w14:textId="77777777" w:rsidR="00000000" w:rsidRDefault="007A4061">
      <w:r>
        <w:separator/>
      </w:r>
    </w:p>
  </w:endnote>
  <w:endnote w:type="continuationSeparator" w:id="0">
    <w:p w14:paraId="297511E1" w14:textId="77777777" w:rsidR="00000000" w:rsidRDefault="007A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4D3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D6036" w14:paraId="38716F68" w14:textId="77777777" w:rsidTr="009C1E9A">
      <w:trPr>
        <w:cantSplit/>
      </w:trPr>
      <w:tc>
        <w:tcPr>
          <w:tcW w:w="0" w:type="pct"/>
        </w:tcPr>
        <w:p w14:paraId="4344D8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3B23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CFA9B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AFCF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6C541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6036" w14:paraId="75239E1F" w14:textId="77777777" w:rsidTr="009C1E9A">
      <w:trPr>
        <w:cantSplit/>
      </w:trPr>
      <w:tc>
        <w:tcPr>
          <w:tcW w:w="0" w:type="pct"/>
        </w:tcPr>
        <w:p w14:paraId="72CBBB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CF08B35" w14:textId="7D7FE54F" w:rsidR="00EC379B" w:rsidRPr="009C1E9A" w:rsidRDefault="007A406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27380-D</w:t>
          </w:r>
        </w:p>
      </w:tc>
      <w:tc>
        <w:tcPr>
          <w:tcW w:w="2453" w:type="pct"/>
        </w:tcPr>
        <w:p w14:paraId="03191ABE" w14:textId="7D81C3F8" w:rsidR="00EC379B" w:rsidRDefault="007A406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25239">
            <w:t>23.121.1029</w:t>
          </w:r>
          <w:r>
            <w:fldChar w:fldCharType="end"/>
          </w:r>
        </w:p>
      </w:tc>
    </w:tr>
    <w:tr w:rsidR="007D6036" w14:paraId="2B86FB1D" w14:textId="77777777" w:rsidTr="009C1E9A">
      <w:trPr>
        <w:cantSplit/>
      </w:trPr>
      <w:tc>
        <w:tcPr>
          <w:tcW w:w="0" w:type="pct"/>
        </w:tcPr>
        <w:p w14:paraId="727606D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F084E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A283B7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47DDC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6036" w14:paraId="2A25A85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45C5874" w14:textId="77777777" w:rsidR="00EC379B" w:rsidRDefault="007A406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5BA60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1B7BA3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EA2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37BE" w14:textId="77777777" w:rsidR="00000000" w:rsidRDefault="007A4061">
      <w:r>
        <w:separator/>
      </w:r>
    </w:p>
  </w:footnote>
  <w:footnote w:type="continuationSeparator" w:id="0">
    <w:p w14:paraId="5CE679F7" w14:textId="77777777" w:rsidR="00000000" w:rsidRDefault="007A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893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668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D13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001E"/>
    <w:multiLevelType w:val="hybridMultilevel"/>
    <w:tmpl w:val="7DD6FD02"/>
    <w:lvl w:ilvl="0" w:tplc="3B42C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6C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4B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02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28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F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E9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61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A3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1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02F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D2A"/>
    <w:rsid w:val="0012371B"/>
    <w:rsid w:val="001245C8"/>
    <w:rsid w:val="00124653"/>
    <w:rsid w:val="001247C5"/>
    <w:rsid w:val="00126B18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615"/>
    <w:rsid w:val="00171BF2"/>
    <w:rsid w:val="0017347B"/>
    <w:rsid w:val="0017725B"/>
    <w:rsid w:val="0018050C"/>
    <w:rsid w:val="00180D84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17BD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0E0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3B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2D9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578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0F41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648"/>
    <w:rsid w:val="00534A49"/>
    <w:rsid w:val="005363BB"/>
    <w:rsid w:val="00541B98"/>
    <w:rsid w:val="00543374"/>
    <w:rsid w:val="00545548"/>
    <w:rsid w:val="00546923"/>
    <w:rsid w:val="0054756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856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826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9C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51D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731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967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061"/>
    <w:rsid w:val="007A4381"/>
    <w:rsid w:val="007A5466"/>
    <w:rsid w:val="007A7EC1"/>
    <w:rsid w:val="007B4FCA"/>
    <w:rsid w:val="007B7B85"/>
    <w:rsid w:val="007C462E"/>
    <w:rsid w:val="007C496B"/>
    <w:rsid w:val="007C5487"/>
    <w:rsid w:val="007C6803"/>
    <w:rsid w:val="007D2892"/>
    <w:rsid w:val="007D2DCC"/>
    <w:rsid w:val="007D47E1"/>
    <w:rsid w:val="007D6036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4BEC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583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57A1"/>
    <w:rsid w:val="008D27A5"/>
    <w:rsid w:val="008D2AAB"/>
    <w:rsid w:val="008D309C"/>
    <w:rsid w:val="008D58F9"/>
    <w:rsid w:val="008D7427"/>
    <w:rsid w:val="008E3338"/>
    <w:rsid w:val="008E47BE"/>
    <w:rsid w:val="008F09DF"/>
    <w:rsid w:val="008F1E29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47B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2AB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239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580"/>
    <w:rsid w:val="00B84D5F"/>
    <w:rsid w:val="00B90097"/>
    <w:rsid w:val="00B90999"/>
    <w:rsid w:val="00B91AD7"/>
    <w:rsid w:val="00B92D23"/>
    <w:rsid w:val="00B95BC8"/>
    <w:rsid w:val="00B96E87"/>
    <w:rsid w:val="00BA146A"/>
    <w:rsid w:val="00BA32EE"/>
    <w:rsid w:val="00BB50F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827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AC9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EFF"/>
    <w:rsid w:val="00CF4827"/>
    <w:rsid w:val="00CF4C69"/>
    <w:rsid w:val="00CF581C"/>
    <w:rsid w:val="00CF71E0"/>
    <w:rsid w:val="00D001B1"/>
    <w:rsid w:val="00D03176"/>
    <w:rsid w:val="00D045A3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CF6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595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0757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93D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4C6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942152-EFE3-4D5C-BC51-DA6CD4E3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005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0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059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0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0595"/>
    <w:rPr>
      <w:b/>
      <w:bCs/>
    </w:rPr>
  </w:style>
  <w:style w:type="paragraph" w:styleId="Revision">
    <w:name w:val="Revision"/>
    <w:hidden/>
    <w:uiPriority w:val="99"/>
    <w:semiHidden/>
    <w:rsid w:val="008C57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2889</Characters>
  <Application>Microsoft Office Word</Application>
  <DocSecurity>4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SB02196 (Committee Report (Unamended))</vt:lpstr>
    </vt:vector>
  </TitlesOfParts>
  <Company>State of Texas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27380</dc:subject>
  <dc:creator>State of Texas</dc:creator>
  <dc:description>SB 2196 by Hancock-(H)Environmental Regulation</dc:description>
  <cp:lastModifiedBy>Damian Duarte</cp:lastModifiedBy>
  <cp:revision>2</cp:revision>
  <cp:lastPrinted>2003-11-26T17:21:00Z</cp:lastPrinted>
  <dcterms:created xsi:type="dcterms:W3CDTF">2023-05-02T21:42:00Z</dcterms:created>
  <dcterms:modified xsi:type="dcterms:W3CDTF">2023-05-02T21:42:00Z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23.121.1029</vt:lpwstr>
  </property>
</Properties>
</file>