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D1EB9" w14:paraId="159213BA" w14:textId="77777777" w:rsidTr="00345119">
        <w:tc>
          <w:tcPr>
            <w:tcW w:w="9576" w:type="dxa"/>
            <w:noWrap/>
          </w:tcPr>
          <w:p w14:paraId="0A3104CE" w14:textId="77777777" w:rsidR="008423E4" w:rsidRPr="0022177D" w:rsidRDefault="00B60B5E" w:rsidP="00B4790B">
            <w:pPr>
              <w:pStyle w:val="Heading1"/>
            </w:pPr>
            <w:r w:rsidRPr="00631897">
              <w:t>BILL ANALYSIS</w:t>
            </w:r>
          </w:p>
        </w:tc>
      </w:tr>
    </w:tbl>
    <w:p w14:paraId="200B8596" w14:textId="77777777" w:rsidR="008423E4" w:rsidRPr="0022177D" w:rsidRDefault="008423E4" w:rsidP="00B4790B">
      <w:pPr>
        <w:jc w:val="center"/>
      </w:pPr>
    </w:p>
    <w:p w14:paraId="75109C1D" w14:textId="77777777" w:rsidR="008423E4" w:rsidRPr="00B31F0E" w:rsidRDefault="008423E4" w:rsidP="00B4790B"/>
    <w:p w14:paraId="1941EF76" w14:textId="77777777" w:rsidR="008423E4" w:rsidRPr="00742794" w:rsidRDefault="008423E4" w:rsidP="00B4790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D1EB9" w14:paraId="4C123531" w14:textId="77777777" w:rsidTr="00345119">
        <w:tc>
          <w:tcPr>
            <w:tcW w:w="9576" w:type="dxa"/>
          </w:tcPr>
          <w:p w14:paraId="118C3D23" w14:textId="2E272693" w:rsidR="008423E4" w:rsidRPr="00861995" w:rsidRDefault="00B60B5E" w:rsidP="00B4790B">
            <w:pPr>
              <w:jc w:val="right"/>
            </w:pPr>
            <w:r>
              <w:t>S.B. 2289</w:t>
            </w:r>
          </w:p>
        </w:tc>
      </w:tr>
      <w:tr w:rsidR="005D1EB9" w14:paraId="261F9B69" w14:textId="77777777" w:rsidTr="00345119">
        <w:tc>
          <w:tcPr>
            <w:tcW w:w="9576" w:type="dxa"/>
          </w:tcPr>
          <w:p w14:paraId="718F6B98" w14:textId="27252BFF" w:rsidR="008423E4" w:rsidRPr="00861995" w:rsidRDefault="00B60B5E" w:rsidP="00B4790B">
            <w:pPr>
              <w:jc w:val="right"/>
            </w:pPr>
            <w:r>
              <w:t xml:space="preserve">By: </w:t>
            </w:r>
            <w:r w:rsidR="00075A0E">
              <w:t>Huffman</w:t>
            </w:r>
          </w:p>
        </w:tc>
      </w:tr>
      <w:tr w:rsidR="005D1EB9" w14:paraId="16B125BF" w14:textId="77777777" w:rsidTr="00345119">
        <w:tc>
          <w:tcPr>
            <w:tcW w:w="9576" w:type="dxa"/>
          </w:tcPr>
          <w:p w14:paraId="2599C1EB" w14:textId="773D3B7A" w:rsidR="008423E4" w:rsidRPr="00861995" w:rsidRDefault="00B60B5E" w:rsidP="00B4790B">
            <w:pPr>
              <w:jc w:val="right"/>
            </w:pPr>
            <w:r>
              <w:t>Ways &amp; Means</w:t>
            </w:r>
          </w:p>
        </w:tc>
      </w:tr>
      <w:tr w:rsidR="005D1EB9" w14:paraId="5144F5A0" w14:textId="77777777" w:rsidTr="00345119">
        <w:tc>
          <w:tcPr>
            <w:tcW w:w="9576" w:type="dxa"/>
          </w:tcPr>
          <w:p w14:paraId="2501CDE8" w14:textId="03E90217" w:rsidR="008423E4" w:rsidRDefault="00B60B5E" w:rsidP="00B4790B">
            <w:pPr>
              <w:jc w:val="right"/>
            </w:pPr>
            <w:r>
              <w:t>Committee Report (Unamended)</w:t>
            </w:r>
          </w:p>
        </w:tc>
      </w:tr>
    </w:tbl>
    <w:p w14:paraId="5D8FEBBE" w14:textId="77777777" w:rsidR="008423E4" w:rsidRDefault="008423E4" w:rsidP="00B4790B">
      <w:pPr>
        <w:tabs>
          <w:tab w:val="right" w:pos="9360"/>
        </w:tabs>
      </w:pPr>
    </w:p>
    <w:p w14:paraId="7553B216" w14:textId="77777777" w:rsidR="008423E4" w:rsidRDefault="008423E4" w:rsidP="00B4790B"/>
    <w:p w14:paraId="26E3DC92" w14:textId="77777777" w:rsidR="008423E4" w:rsidRDefault="008423E4" w:rsidP="00B4790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D1EB9" w14:paraId="1D3325BE" w14:textId="77777777" w:rsidTr="00345119">
        <w:tc>
          <w:tcPr>
            <w:tcW w:w="9576" w:type="dxa"/>
          </w:tcPr>
          <w:p w14:paraId="0E919A25" w14:textId="77777777" w:rsidR="008423E4" w:rsidRPr="00A8133F" w:rsidRDefault="00B60B5E" w:rsidP="00B4790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D32D66" w14:textId="77777777" w:rsidR="008423E4" w:rsidRDefault="008423E4" w:rsidP="00B4790B"/>
          <w:p w14:paraId="7A815F1E" w14:textId="07B5062F" w:rsidR="008423E4" w:rsidRDefault="00B60B5E" w:rsidP="00B479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B722F8" w:rsidRPr="00B722F8">
              <w:t xml:space="preserve">he current tax structure on medical and biomedical manufacturing inventories </w:t>
            </w:r>
            <w:r>
              <w:t xml:space="preserve">can </w:t>
            </w:r>
            <w:r w:rsidR="00B722F8" w:rsidRPr="00B722F8">
              <w:t xml:space="preserve">discourage capital investment and expansion. </w:t>
            </w:r>
            <w:r>
              <w:t>Due in part to cost,</w:t>
            </w:r>
            <w:r w:rsidR="00B722F8" w:rsidRPr="00B722F8">
              <w:t xml:space="preserve"> </w:t>
            </w:r>
            <w:r>
              <w:t>much</w:t>
            </w:r>
            <w:r w:rsidRPr="00B722F8">
              <w:t xml:space="preserve"> </w:t>
            </w:r>
            <w:r w:rsidR="00B722F8" w:rsidRPr="00B722F8">
              <w:t xml:space="preserve">of the </w:t>
            </w:r>
            <w:r>
              <w:t xml:space="preserve">world's </w:t>
            </w:r>
            <w:r w:rsidR="00B722F8" w:rsidRPr="00B722F8">
              <w:t xml:space="preserve">medical and biomedical manufacturing is located abroad. </w:t>
            </w:r>
            <w:r>
              <w:t>S.B. 2289 seeks to</w:t>
            </w:r>
            <w:r w:rsidR="00B722F8" w:rsidRPr="00B722F8">
              <w:t xml:space="preserve"> exempt from </w:t>
            </w:r>
            <w:r>
              <w:t>pr</w:t>
            </w:r>
            <w:r>
              <w:t>operty</w:t>
            </w:r>
            <w:r w:rsidR="00B722F8" w:rsidRPr="00B722F8">
              <w:t xml:space="preserve"> taxation tangible personal property that is used or produced by medical and biomedical manufacturers.</w:t>
            </w:r>
          </w:p>
          <w:p w14:paraId="502B0387" w14:textId="77777777" w:rsidR="008423E4" w:rsidRPr="00E26B13" w:rsidRDefault="008423E4" w:rsidP="00B4790B">
            <w:pPr>
              <w:rPr>
                <w:b/>
              </w:rPr>
            </w:pPr>
          </w:p>
        </w:tc>
      </w:tr>
      <w:tr w:rsidR="005D1EB9" w14:paraId="7ED01EE6" w14:textId="77777777" w:rsidTr="00345119">
        <w:tc>
          <w:tcPr>
            <w:tcW w:w="9576" w:type="dxa"/>
          </w:tcPr>
          <w:p w14:paraId="4E3B9961" w14:textId="77777777" w:rsidR="0017725B" w:rsidRDefault="00B60B5E" w:rsidP="00B479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77F048" w14:textId="77777777" w:rsidR="0017725B" w:rsidRDefault="0017725B" w:rsidP="00B4790B">
            <w:pPr>
              <w:rPr>
                <w:b/>
                <w:u w:val="single"/>
              </w:rPr>
            </w:pPr>
          </w:p>
          <w:p w14:paraId="03D8C2CB" w14:textId="77777777" w:rsidR="0017725B" w:rsidRDefault="00B60B5E" w:rsidP="00B4790B">
            <w:pPr>
              <w:jc w:val="both"/>
            </w:pPr>
            <w:r>
              <w:t>It is the committee's opinion that this bill does not expressly create a criminal offense, increase the punishment for a</w:t>
            </w:r>
            <w:r>
              <w:t>n existing criminal offense or category of offenses, or change the eligibility of a person for community supervision, parole, or mandatory supervision.</w:t>
            </w:r>
          </w:p>
          <w:p w14:paraId="0B7E13F4" w14:textId="52C5A85C" w:rsidR="00B4790B" w:rsidRPr="0017725B" w:rsidRDefault="00B4790B" w:rsidP="00B4790B">
            <w:pPr>
              <w:jc w:val="both"/>
              <w:rPr>
                <w:b/>
                <w:u w:val="single"/>
              </w:rPr>
            </w:pPr>
          </w:p>
        </w:tc>
      </w:tr>
      <w:tr w:rsidR="005D1EB9" w14:paraId="7A519E3A" w14:textId="77777777" w:rsidTr="00345119">
        <w:tc>
          <w:tcPr>
            <w:tcW w:w="9576" w:type="dxa"/>
          </w:tcPr>
          <w:p w14:paraId="113E64A7" w14:textId="77777777" w:rsidR="008423E4" w:rsidRPr="00A8133F" w:rsidRDefault="00B60B5E" w:rsidP="00B4790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1A82154" w14:textId="77777777" w:rsidR="008423E4" w:rsidRDefault="008423E4" w:rsidP="00B4790B"/>
          <w:p w14:paraId="29BE5D26" w14:textId="77777777" w:rsidR="008423E4" w:rsidRDefault="00B60B5E" w:rsidP="00B479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</w:t>
            </w:r>
            <w:r>
              <w:t>ional rulemaking authority to a state officer, department, agency, or institution.</w:t>
            </w:r>
          </w:p>
          <w:p w14:paraId="623DDCEF" w14:textId="2DB59268" w:rsidR="00B4790B" w:rsidRPr="00E21FDC" w:rsidRDefault="00B4790B" w:rsidP="00B4790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D1EB9" w14:paraId="2AB9FE24" w14:textId="77777777" w:rsidTr="00345119">
        <w:tc>
          <w:tcPr>
            <w:tcW w:w="9576" w:type="dxa"/>
          </w:tcPr>
          <w:p w14:paraId="28301C5F" w14:textId="07084B95" w:rsidR="008423E4" w:rsidRDefault="00B60B5E" w:rsidP="00B4790B">
            <w:pPr>
              <w:rPr>
                <w:b/>
                <w:bCs/>
                <w:u w:val="single"/>
              </w:rPr>
            </w:pPr>
            <w:r w:rsidRPr="004C2D33">
              <w:rPr>
                <w:b/>
                <w:bCs/>
                <w:u w:val="single"/>
              </w:rPr>
              <w:t xml:space="preserve">ANALYSIS </w:t>
            </w:r>
          </w:p>
          <w:p w14:paraId="64483F43" w14:textId="77777777" w:rsidR="00B4790B" w:rsidRPr="004C2D33" w:rsidRDefault="00B4790B" w:rsidP="00B4790B">
            <w:pPr>
              <w:rPr>
                <w:b/>
                <w:bCs/>
                <w:u w:val="single"/>
              </w:rPr>
            </w:pPr>
          </w:p>
          <w:p w14:paraId="1336C7CA" w14:textId="46BAF757" w:rsidR="00141DE0" w:rsidRDefault="00B60B5E" w:rsidP="00B4790B">
            <w:pPr>
              <w:jc w:val="both"/>
            </w:pPr>
            <w:r>
              <w:t xml:space="preserve">S.B. 2289 </w:t>
            </w:r>
            <w:r w:rsidR="004C2D33">
              <w:t xml:space="preserve">amends the Tax Code to entitle a person to an </w:t>
            </w:r>
            <w:r w:rsidR="004C2D33" w:rsidRPr="004C2D33">
              <w:t>exemption</w:t>
            </w:r>
            <w:r w:rsidR="00B722F8">
              <w:t xml:space="preserve"> </w:t>
            </w:r>
            <w:r w:rsidR="004C2D33" w:rsidRPr="004C2D33">
              <w:t xml:space="preserve">from </w:t>
            </w:r>
            <w:r w:rsidR="00C13390">
              <w:t xml:space="preserve">property </w:t>
            </w:r>
            <w:r w:rsidR="004C2D33" w:rsidRPr="004C2D33">
              <w:t>taxation of medical or biomedical property the person owns or leases that is located in a medical or biomedical manufacturing facility that the person owns or leases</w:t>
            </w:r>
            <w:r w:rsidR="001B2F91">
              <w:t>.</w:t>
            </w:r>
            <w:r w:rsidR="004C2D33">
              <w:t xml:space="preserve"> </w:t>
            </w:r>
            <w:r>
              <w:t>For purposes of this exemption, the bill defines "medical or biomedical property" and "medical or biomedical manufacturing facility" as follows:</w:t>
            </w:r>
          </w:p>
          <w:p w14:paraId="522E7D23" w14:textId="250AF0D7" w:rsidR="00B82087" w:rsidRDefault="00B60B5E" w:rsidP="00B4790B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"medical or biomedica</w:t>
            </w:r>
            <w:r>
              <w:t>l property" as tangible personal property that is stored, used, or consumed in the manufacturing or processing of medical or biomedical products by a medical or biomedical manufacturer or that is intended for use in the diagnosis, cure, mitigation, treatme</w:t>
            </w:r>
            <w:r>
              <w:t>nt, or prevention of a condition or disease or in medical or biomedical research,</w:t>
            </w:r>
            <w:r w:rsidR="003254F8" w:rsidRPr="003254F8">
              <w:t xml:space="preserve"> including the invention, development, and dissemination of materials, tools, technologies, processes, and similar means for translating and applying medical and scientific research for practical applications to advance public health, including</w:t>
            </w:r>
            <w:r w:rsidR="003254F8">
              <w:t xml:space="preserve"> the following:</w:t>
            </w:r>
          </w:p>
          <w:p w14:paraId="230079B9" w14:textId="7ADE74FD" w:rsidR="00B82087" w:rsidRDefault="00B60B5E" w:rsidP="00B4790B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devices;</w:t>
            </w:r>
          </w:p>
          <w:p w14:paraId="17528890" w14:textId="0C3B4BCA" w:rsidR="00B82087" w:rsidRDefault="00B60B5E" w:rsidP="00B4790B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therapeutics;</w:t>
            </w:r>
          </w:p>
          <w:p w14:paraId="47379DB2" w14:textId="4CDE2C9E" w:rsidR="00B82087" w:rsidRDefault="00B60B5E" w:rsidP="00B4790B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pharmaceuticals;</w:t>
            </w:r>
          </w:p>
          <w:p w14:paraId="73C4F017" w14:textId="67182D64" w:rsidR="00B82087" w:rsidRDefault="00B60B5E" w:rsidP="00B4790B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personal protective equipment;</w:t>
            </w:r>
          </w:p>
          <w:p w14:paraId="3CAFB012" w14:textId="4B22B4E2" w:rsidR="00B82087" w:rsidRDefault="00B60B5E" w:rsidP="00B4790B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tools, apparatuses, instruments, implants, or other similar or related component parts or accessorie</w:t>
            </w:r>
            <w:r>
              <w:t>s;</w:t>
            </w:r>
          </w:p>
          <w:p w14:paraId="6B1C7361" w14:textId="68F67343" w:rsidR="00B82087" w:rsidRDefault="00B60B5E" w:rsidP="00B4790B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property exempted </w:t>
            </w:r>
            <w:r w:rsidR="00581D32">
              <w:t>as manufacturing property under the Limited Sales, Excise, and Use Tax Act</w:t>
            </w:r>
            <w:r>
              <w:t>; and</w:t>
            </w:r>
          </w:p>
          <w:p w14:paraId="7A8B035F" w14:textId="529F85ED" w:rsidR="00B82087" w:rsidRDefault="00B60B5E" w:rsidP="00B4790B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manufacturing inventories, including finished goods</w:t>
            </w:r>
            <w:r w:rsidR="00581D32">
              <w:t>; and</w:t>
            </w:r>
          </w:p>
          <w:p w14:paraId="0DAC2F07" w14:textId="77777777" w:rsidR="00581D32" w:rsidRDefault="00B60B5E" w:rsidP="00B4790B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"medical or biomedical manufacturing facility" as a facility at which a person conducts manufactur</w:t>
            </w:r>
            <w:r>
              <w:t>ing or processing of medical or biomedical products for the purpose of development and commercialization of products to advance public health.</w:t>
            </w:r>
          </w:p>
          <w:p w14:paraId="0C9FEDAD" w14:textId="2579A3EF" w:rsidR="00B82087" w:rsidRDefault="00B60B5E" w:rsidP="00B4790B">
            <w:pPr>
              <w:jc w:val="both"/>
            </w:pPr>
            <w:r>
              <w:t>The bill</w:t>
            </w:r>
            <w:r w:rsidR="004C2D33">
              <w:t xml:space="preserve"> prohibits </w:t>
            </w:r>
            <w:r>
              <w:t xml:space="preserve">the </w:t>
            </w:r>
            <w:r w:rsidR="004C2D33" w:rsidRPr="004C2D33">
              <w:t>governing body of a taxing unit</w:t>
            </w:r>
            <w:r w:rsidR="004C2D33">
              <w:t xml:space="preserve"> from providing for </w:t>
            </w:r>
            <w:r w:rsidR="004C2D33" w:rsidRPr="004C2D33">
              <w:t xml:space="preserve">taxation of </w:t>
            </w:r>
            <w:r w:rsidR="004C2D33">
              <w:t xml:space="preserve">exempted </w:t>
            </w:r>
            <w:r w:rsidR="004C2D33" w:rsidRPr="004C2D33">
              <w:t>medical or biomedical property</w:t>
            </w:r>
            <w:r w:rsidR="00141DE0">
              <w:t xml:space="preserve"> and includes this property tax exemption for medical or biomedical property among the exemptions that, once allowed, need not be claimed in subsequent years and among the exemptions for which a person may qualify on a pro-rated </w:t>
            </w:r>
            <w:r w:rsidR="00B66E2F">
              <w:t>basis</w:t>
            </w:r>
            <w:r w:rsidR="00141DE0">
              <w:t xml:space="preserve"> if the property was acquired after January 1 of a tax year</w:t>
            </w:r>
            <w:r w:rsidR="004C2D33">
              <w:t xml:space="preserve">. </w:t>
            </w:r>
          </w:p>
          <w:p w14:paraId="0CE1B87A" w14:textId="77777777" w:rsidR="00B82087" w:rsidRDefault="00B82087" w:rsidP="00B4790B">
            <w:pPr>
              <w:jc w:val="both"/>
            </w:pPr>
          </w:p>
          <w:p w14:paraId="6C64E249" w14:textId="77777777" w:rsidR="008423E4" w:rsidRDefault="00B60B5E" w:rsidP="00B4790B">
            <w:pPr>
              <w:jc w:val="both"/>
            </w:pPr>
            <w:r>
              <w:t>S.B. 2289 applies</w:t>
            </w:r>
            <w:r w:rsidR="004C2D33">
              <w:t xml:space="preserve"> </w:t>
            </w:r>
            <w:r w:rsidR="004C2D33" w:rsidRPr="004C2D33">
              <w:t>only to a tax year that begins on or after the</w:t>
            </w:r>
            <w:r w:rsidR="004C2D33">
              <w:t xml:space="preserve"> bill's</w:t>
            </w:r>
            <w:r w:rsidR="004C2D33" w:rsidRPr="004C2D33">
              <w:t xml:space="preserve"> effective date</w:t>
            </w:r>
            <w:r w:rsidR="004C2D33">
              <w:t xml:space="preserve">. </w:t>
            </w:r>
          </w:p>
          <w:p w14:paraId="768A17A5" w14:textId="42AFC6A8" w:rsidR="00B4790B" w:rsidRPr="00835628" w:rsidRDefault="00B4790B" w:rsidP="00B4790B">
            <w:pPr>
              <w:jc w:val="both"/>
            </w:pPr>
          </w:p>
        </w:tc>
      </w:tr>
      <w:tr w:rsidR="005D1EB9" w14:paraId="04AC77FC" w14:textId="77777777" w:rsidTr="00345119">
        <w:tc>
          <w:tcPr>
            <w:tcW w:w="9576" w:type="dxa"/>
          </w:tcPr>
          <w:p w14:paraId="3C5785D1" w14:textId="77777777" w:rsidR="008423E4" w:rsidRPr="00A8133F" w:rsidRDefault="00B60B5E" w:rsidP="00B4790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B785D68" w14:textId="43A42883" w:rsidR="008423E4" w:rsidRDefault="008423E4" w:rsidP="00B4790B">
            <w:pPr>
              <w:rPr>
                <w:b/>
              </w:rPr>
            </w:pPr>
          </w:p>
          <w:p w14:paraId="1CFF2EA0" w14:textId="45A77A56" w:rsidR="004C2D33" w:rsidRPr="00233FDB" w:rsidRDefault="00B60B5E" w:rsidP="00B4790B">
            <w:pPr>
              <w:jc w:val="both"/>
              <w:rPr>
                <w:b/>
              </w:rPr>
            </w:pPr>
            <w:r>
              <w:t>January</w:t>
            </w:r>
            <w:r w:rsidR="009901AF">
              <w:t xml:space="preserve"> </w:t>
            </w:r>
            <w:r>
              <w:t>1, 2024</w:t>
            </w:r>
            <w:r w:rsidR="009901AF">
              <w:t>,</w:t>
            </w:r>
            <w:r>
              <w:t xml:space="preserve"> if the constitutional </w:t>
            </w:r>
            <w:r w:rsidRPr="00E543F0">
              <w:t xml:space="preserve">amendment </w:t>
            </w:r>
            <w:r w:rsidR="00E543F0" w:rsidRPr="00E543F0">
              <w:t xml:space="preserve">to authorize the legislature to exempt from </w:t>
            </w:r>
            <w:r w:rsidR="00E543F0">
              <w:t>property</w:t>
            </w:r>
            <w:r w:rsidR="00E543F0" w:rsidRPr="00E543F0">
              <w:t xml:space="preserve"> taxation </w:t>
            </w:r>
            <w:r w:rsidR="00CB227E" w:rsidRPr="00CB227E">
              <w:t>equipment or inventory</w:t>
            </w:r>
            <w:r w:rsidR="00E543F0" w:rsidRPr="00E543F0">
              <w:t xml:space="preserve"> held by a manufacturer of medical or biomedical products </w:t>
            </w:r>
            <w:r w:rsidR="00CB227E" w:rsidRPr="00CB227E">
              <w:t xml:space="preserve">to protect </w:t>
            </w:r>
            <w:r w:rsidR="00E543F0" w:rsidRPr="00E543F0">
              <w:t xml:space="preserve">the </w:t>
            </w:r>
            <w:r w:rsidR="00CB227E" w:rsidRPr="00CB227E">
              <w:t xml:space="preserve">Texas healthcare network and strengthen our </w:t>
            </w:r>
            <w:r w:rsidR="00E543F0" w:rsidRPr="00E543F0">
              <w:t xml:space="preserve">medical </w:t>
            </w:r>
            <w:r w:rsidR="00CB227E" w:rsidRPr="00CB227E">
              <w:t>supply chain</w:t>
            </w:r>
            <w:r w:rsidR="00E543F0">
              <w:rPr>
                <w:b/>
              </w:rPr>
              <w:t xml:space="preserve"> </w:t>
            </w:r>
            <w:r>
              <w:t>is approved by the voters.</w:t>
            </w:r>
          </w:p>
        </w:tc>
      </w:tr>
    </w:tbl>
    <w:p w14:paraId="6783B970" w14:textId="77777777" w:rsidR="008423E4" w:rsidRPr="00BE0E75" w:rsidRDefault="008423E4" w:rsidP="00B4790B">
      <w:pPr>
        <w:jc w:val="both"/>
        <w:rPr>
          <w:rFonts w:ascii="Arial" w:hAnsi="Arial"/>
          <w:sz w:val="16"/>
          <w:szCs w:val="16"/>
        </w:rPr>
      </w:pPr>
    </w:p>
    <w:p w14:paraId="436DF50C" w14:textId="77777777" w:rsidR="004108C3" w:rsidRPr="008423E4" w:rsidRDefault="004108C3" w:rsidP="00B4790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93AE" w14:textId="77777777" w:rsidR="00000000" w:rsidRDefault="00B60B5E">
      <w:r>
        <w:separator/>
      </w:r>
    </w:p>
  </w:endnote>
  <w:endnote w:type="continuationSeparator" w:id="0">
    <w:p w14:paraId="64261400" w14:textId="77777777" w:rsidR="00000000" w:rsidRDefault="00B6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806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D1EB9" w14:paraId="1016FFCB" w14:textId="77777777" w:rsidTr="009C1E9A">
      <w:trPr>
        <w:cantSplit/>
      </w:trPr>
      <w:tc>
        <w:tcPr>
          <w:tcW w:w="0" w:type="pct"/>
        </w:tcPr>
        <w:p w14:paraId="441FA8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988A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1408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A8CC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5C9F7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D1EB9" w14:paraId="0AA082A5" w14:textId="77777777" w:rsidTr="009C1E9A">
      <w:trPr>
        <w:cantSplit/>
      </w:trPr>
      <w:tc>
        <w:tcPr>
          <w:tcW w:w="0" w:type="pct"/>
        </w:tcPr>
        <w:p w14:paraId="5D5FDB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6DCB0E" w14:textId="76B8A56A" w:rsidR="00EC379B" w:rsidRPr="009C1E9A" w:rsidRDefault="00B60B5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29175-D</w:t>
          </w:r>
        </w:p>
      </w:tc>
      <w:tc>
        <w:tcPr>
          <w:tcW w:w="2453" w:type="pct"/>
        </w:tcPr>
        <w:p w14:paraId="2C13B200" w14:textId="216501E6" w:rsidR="00EC379B" w:rsidRDefault="00B60B5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4790B">
            <w:t>23.129.953</w:t>
          </w:r>
          <w:r>
            <w:fldChar w:fldCharType="end"/>
          </w:r>
        </w:p>
      </w:tc>
    </w:tr>
    <w:tr w:rsidR="005D1EB9" w14:paraId="4185B89F" w14:textId="77777777" w:rsidTr="009C1E9A">
      <w:trPr>
        <w:cantSplit/>
      </w:trPr>
      <w:tc>
        <w:tcPr>
          <w:tcW w:w="0" w:type="pct"/>
        </w:tcPr>
        <w:p w14:paraId="4AC0A2D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342D6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BBFC38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BDFC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D1EB9" w14:paraId="68780A1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20875A4" w14:textId="77777777" w:rsidR="00EC379B" w:rsidRDefault="00B60B5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95F2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0276C6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C86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5BA6" w14:textId="77777777" w:rsidR="00000000" w:rsidRDefault="00B60B5E">
      <w:r>
        <w:separator/>
      </w:r>
    </w:p>
  </w:footnote>
  <w:footnote w:type="continuationSeparator" w:id="0">
    <w:p w14:paraId="792BB25D" w14:textId="77777777" w:rsidR="00000000" w:rsidRDefault="00B6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56E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6DB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118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0663E"/>
    <w:multiLevelType w:val="hybridMultilevel"/>
    <w:tmpl w:val="29E6D480"/>
    <w:lvl w:ilvl="0" w:tplc="CE0A08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22E88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86A9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A4DD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D4E6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E64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B6B1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A4B7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2408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2C40CD"/>
    <w:multiLevelType w:val="hybridMultilevel"/>
    <w:tmpl w:val="7304F960"/>
    <w:lvl w:ilvl="0" w:tplc="94B46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E7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EE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C0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A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6E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89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69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26D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35FCD"/>
    <w:multiLevelType w:val="hybridMultilevel"/>
    <w:tmpl w:val="275664FA"/>
    <w:lvl w:ilvl="0" w:tplc="D4EE6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00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0F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AF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E3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A2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8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4B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C7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336"/>
    <w:rsid w:val="000608B0"/>
    <w:rsid w:val="0006104C"/>
    <w:rsid w:val="00064BF2"/>
    <w:rsid w:val="000667BA"/>
    <w:rsid w:val="000676A7"/>
    <w:rsid w:val="00073914"/>
    <w:rsid w:val="00074236"/>
    <w:rsid w:val="000746BD"/>
    <w:rsid w:val="00075A0E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F5D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DE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F91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4F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D68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D3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383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D32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EB9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BCC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1AF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62D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90B"/>
    <w:rsid w:val="00B5165A"/>
    <w:rsid w:val="00B524C1"/>
    <w:rsid w:val="00B52C8D"/>
    <w:rsid w:val="00B564BF"/>
    <w:rsid w:val="00B60B5E"/>
    <w:rsid w:val="00B6104E"/>
    <w:rsid w:val="00B610C7"/>
    <w:rsid w:val="00B62106"/>
    <w:rsid w:val="00B626A8"/>
    <w:rsid w:val="00B65695"/>
    <w:rsid w:val="00B66526"/>
    <w:rsid w:val="00B665A3"/>
    <w:rsid w:val="00B66E2F"/>
    <w:rsid w:val="00B722F8"/>
    <w:rsid w:val="00B73BB4"/>
    <w:rsid w:val="00B80532"/>
    <w:rsid w:val="00B82039"/>
    <w:rsid w:val="00B82087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9AE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0AC"/>
    <w:rsid w:val="00C013F4"/>
    <w:rsid w:val="00C040AB"/>
    <w:rsid w:val="00C0499B"/>
    <w:rsid w:val="00C05406"/>
    <w:rsid w:val="00C05CF0"/>
    <w:rsid w:val="00C119AC"/>
    <w:rsid w:val="00C13390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27E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AAE"/>
    <w:rsid w:val="00DA1EFA"/>
    <w:rsid w:val="00DA25E7"/>
    <w:rsid w:val="00DA3687"/>
    <w:rsid w:val="00DA39F2"/>
    <w:rsid w:val="00DA564B"/>
    <w:rsid w:val="00DA6A5C"/>
    <w:rsid w:val="00DB311F"/>
    <w:rsid w:val="00DB44BE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C76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A18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3F0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521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B0A172-B727-4BE2-AD77-D873919C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2D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2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2D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D33"/>
    <w:rPr>
      <w:b/>
      <w:bCs/>
    </w:rPr>
  </w:style>
  <w:style w:type="paragraph" w:styleId="Revision">
    <w:name w:val="Revision"/>
    <w:hidden/>
    <w:uiPriority w:val="99"/>
    <w:semiHidden/>
    <w:rsid w:val="001B2F9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2869</Characters>
  <Application>Microsoft Office Word</Application>
  <DocSecurity>4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SB02289 (Committee Report (Unamended))</vt:lpstr>
    </vt:vector>
  </TitlesOfParts>
  <Company>State of Texas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29175</dc:subject>
  <dc:creator>State of Texas</dc:creator>
  <dc:description>SB 2289 by Huffman-(H)Ways &amp; Means</dc:description>
  <cp:lastModifiedBy>Thomas Weis</cp:lastModifiedBy>
  <cp:revision>2</cp:revision>
  <cp:lastPrinted>2003-11-26T17:21:00Z</cp:lastPrinted>
  <dcterms:created xsi:type="dcterms:W3CDTF">2023-05-12T17:45:00Z</dcterms:created>
  <dcterms:modified xsi:type="dcterms:W3CDTF">2023-05-12T17:45:00Z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23.129.953</vt:lpwstr>
  </property>
</Properties>
</file>