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C05139" w14:paraId="02F64F0D" w14:textId="77777777" w:rsidTr="00345119">
        <w:tc>
          <w:tcPr>
            <w:tcW w:w="9576" w:type="dxa"/>
            <w:noWrap/>
          </w:tcPr>
          <w:p w14:paraId="23FB83A6" w14:textId="77777777" w:rsidR="008423E4" w:rsidRPr="0022177D" w:rsidRDefault="00DC39ED" w:rsidP="00022D98">
            <w:pPr>
              <w:pStyle w:val="Heading1"/>
            </w:pPr>
            <w:r w:rsidRPr="00631897">
              <w:t>BILL ANALYSIS</w:t>
            </w:r>
          </w:p>
        </w:tc>
      </w:tr>
    </w:tbl>
    <w:p w14:paraId="3E434DBC" w14:textId="77777777" w:rsidR="008423E4" w:rsidRPr="0022177D" w:rsidRDefault="008423E4" w:rsidP="00022D98">
      <w:pPr>
        <w:jc w:val="center"/>
      </w:pPr>
    </w:p>
    <w:p w14:paraId="3709FEFD" w14:textId="77777777" w:rsidR="008423E4" w:rsidRPr="00B31F0E" w:rsidRDefault="008423E4" w:rsidP="00022D98"/>
    <w:p w14:paraId="15880AA7" w14:textId="77777777" w:rsidR="008423E4" w:rsidRPr="00742794" w:rsidRDefault="008423E4" w:rsidP="00022D98">
      <w:pPr>
        <w:tabs>
          <w:tab w:val="right" w:pos="9360"/>
        </w:tabs>
      </w:pPr>
    </w:p>
    <w:tbl>
      <w:tblPr>
        <w:tblW w:w="0" w:type="auto"/>
        <w:tblLayout w:type="fixed"/>
        <w:tblLook w:val="01E0" w:firstRow="1" w:lastRow="1" w:firstColumn="1" w:lastColumn="1" w:noHBand="0" w:noVBand="0"/>
      </w:tblPr>
      <w:tblGrid>
        <w:gridCol w:w="9576"/>
      </w:tblGrid>
      <w:tr w:rsidR="00C05139" w14:paraId="5E63EB4F" w14:textId="77777777" w:rsidTr="00345119">
        <w:tc>
          <w:tcPr>
            <w:tcW w:w="9576" w:type="dxa"/>
          </w:tcPr>
          <w:p w14:paraId="1F0D5ADF" w14:textId="53E10D5A" w:rsidR="008423E4" w:rsidRPr="00861995" w:rsidRDefault="00DC39ED" w:rsidP="00022D98">
            <w:pPr>
              <w:jc w:val="right"/>
            </w:pPr>
            <w:r>
              <w:t>S.B. 2292</w:t>
            </w:r>
          </w:p>
        </w:tc>
      </w:tr>
      <w:tr w:rsidR="00C05139" w14:paraId="57DA9CE0" w14:textId="77777777" w:rsidTr="00345119">
        <w:tc>
          <w:tcPr>
            <w:tcW w:w="9576" w:type="dxa"/>
          </w:tcPr>
          <w:p w14:paraId="3A472EC9" w14:textId="2144C24C" w:rsidR="008423E4" w:rsidRPr="00861995" w:rsidRDefault="00DC39ED" w:rsidP="00022D98">
            <w:pPr>
              <w:jc w:val="right"/>
            </w:pPr>
            <w:r>
              <w:t xml:space="preserve">By: </w:t>
            </w:r>
            <w:r w:rsidR="00563F06">
              <w:t>Zaffirini</w:t>
            </w:r>
          </w:p>
        </w:tc>
      </w:tr>
      <w:tr w:rsidR="00C05139" w14:paraId="23C0FDDA" w14:textId="77777777" w:rsidTr="00345119">
        <w:tc>
          <w:tcPr>
            <w:tcW w:w="9576" w:type="dxa"/>
          </w:tcPr>
          <w:p w14:paraId="78C11EA1" w14:textId="3B34730B" w:rsidR="008423E4" w:rsidRPr="00861995" w:rsidRDefault="00DC39ED" w:rsidP="00022D98">
            <w:pPr>
              <w:jc w:val="right"/>
            </w:pPr>
            <w:r>
              <w:t>Judiciary &amp; Civil Jurisprudence</w:t>
            </w:r>
          </w:p>
        </w:tc>
      </w:tr>
      <w:tr w:rsidR="00C05139" w14:paraId="08F08B9F" w14:textId="77777777" w:rsidTr="00345119">
        <w:tc>
          <w:tcPr>
            <w:tcW w:w="9576" w:type="dxa"/>
          </w:tcPr>
          <w:p w14:paraId="3DD7554F" w14:textId="5935C2C8" w:rsidR="008423E4" w:rsidRDefault="00DC39ED" w:rsidP="00022D98">
            <w:pPr>
              <w:jc w:val="right"/>
            </w:pPr>
            <w:r>
              <w:t>Committee Report (Unamended)</w:t>
            </w:r>
          </w:p>
        </w:tc>
      </w:tr>
    </w:tbl>
    <w:p w14:paraId="0F291706" w14:textId="77777777" w:rsidR="008423E4" w:rsidRDefault="008423E4" w:rsidP="00022D98">
      <w:pPr>
        <w:tabs>
          <w:tab w:val="right" w:pos="9360"/>
        </w:tabs>
      </w:pPr>
    </w:p>
    <w:p w14:paraId="366506DD" w14:textId="77777777" w:rsidR="008423E4" w:rsidRDefault="008423E4" w:rsidP="00022D98"/>
    <w:p w14:paraId="5CC52347" w14:textId="77777777" w:rsidR="008423E4" w:rsidRDefault="008423E4" w:rsidP="00022D98"/>
    <w:tbl>
      <w:tblPr>
        <w:tblW w:w="0" w:type="auto"/>
        <w:tblCellMar>
          <w:left w:w="115" w:type="dxa"/>
          <w:right w:w="115" w:type="dxa"/>
        </w:tblCellMar>
        <w:tblLook w:val="01E0" w:firstRow="1" w:lastRow="1" w:firstColumn="1" w:lastColumn="1" w:noHBand="0" w:noVBand="0"/>
      </w:tblPr>
      <w:tblGrid>
        <w:gridCol w:w="9360"/>
      </w:tblGrid>
      <w:tr w:rsidR="00C05139" w14:paraId="527791ED" w14:textId="77777777" w:rsidTr="00345119">
        <w:tc>
          <w:tcPr>
            <w:tcW w:w="9576" w:type="dxa"/>
          </w:tcPr>
          <w:p w14:paraId="11E73037" w14:textId="77777777" w:rsidR="008423E4" w:rsidRPr="00A8133F" w:rsidRDefault="00DC39ED" w:rsidP="00022D98">
            <w:pPr>
              <w:rPr>
                <w:b/>
              </w:rPr>
            </w:pPr>
            <w:r w:rsidRPr="009C1E9A">
              <w:rPr>
                <w:b/>
                <w:u w:val="single"/>
              </w:rPr>
              <w:t>BACKGROUND AND PURPOSE</w:t>
            </w:r>
            <w:r>
              <w:rPr>
                <w:b/>
              </w:rPr>
              <w:t xml:space="preserve"> </w:t>
            </w:r>
          </w:p>
          <w:p w14:paraId="6D316427" w14:textId="77777777" w:rsidR="008423E4" w:rsidRDefault="008423E4" w:rsidP="00022D98"/>
          <w:p w14:paraId="1ADC1286" w14:textId="15EF76D5" w:rsidR="008423E4" w:rsidRDefault="00DC39ED" w:rsidP="00022D98">
            <w:pPr>
              <w:pStyle w:val="Header"/>
              <w:tabs>
                <w:tab w:val="clear" w:pos="4320"/>
                <w:tab w:val="clear" w:pos="8640"/>
              </w:tabs>
              <w:jc w:val="both"/>
            </w:pPr>
            <w:r w:rsidRPr="00D9603B">
              <w:t>When judges fail to properly monitor a guardian</w:t>
            </w:r>
            <w:r w:rsidR="006F29FB">
              <w:t xml:space="preserve"> and</w:t>
            </w:r>
            <w:r w:rsidRPr="00D9603B">
              <w:t xml:space="preserve"> </w:t>
            </w:r>
            <w:r w:rsidR="006F29FB">
              <w:t>cause</w:t>
            </w:r>
            <w:r w:rsidRPr="00D9603B">
              <w:t xml:space="preserve"> serious loss to the guardianship estate, the loss to the estate is covered by a bond paid for by the county and payable to the treasurer of the county. Under current law, </w:t>
            </w:r>
            <w:r w:rsidR="00250D2F">
              <w:t>statutory county court and constitutional county court judges</w:t>
            </w:r>
            <w:r w:rsidRPr="00D9603B">
              <w:t xml:space="preserve"> are required to execut</w:t>
            </w:r>
            <w:r w:rsidRPr="00D9603B">
              <w:t>e a bond</w:t>
            </w:r>
            <w:r w:rsidR="002A23A0">
              <w:t xml:space="preserve"> in an amount </w:t>
            </w:r>
            <w:r w:rsidR="00250D2F">
              <w:t xml:space="preserve">set by the county commissioners court </w:t>
            </w:r>
            <w:r w:rsidR="002A23A0">
              <w:t>that is</w:t>
            </w:r>
            <w:r w:rsidRPr="00D9603B">
              <w:t xml:space="preserve"> not less than $100,000 for counties with a population of 125,000 or less, or</w:t>
            </w:r>
            <w:r w:rsidR="002A23A0">
              <w:t xml:space="preserve"> not less than</w:t>
            </w:r>
            <w:r w:rsidRPr="00D9603B">
              <w:t xml:space="preserve"> $250,000 for counties with a population of more than 125,000. </w:t>
            </w:r>
            <w:r w:rsidR="00D56AA4">
              <w:t xml:space="preserve">If </w:t>
            </w:r>
            <w:r w:rsidRPr="00D9603B">
              <w:t>county judges are sued for faili</w:t>
            </w:r>
            <w:r w:rsidRPr="00D9603B">
              <w:t xml:space="preserve">ng to properly monitor these cases and the loss to the guardianship estate is greater than the bond provided for by the county, the judge could then be held personally liable for the excess loss. S.B. 2292 </w:t>
            </w:r>
            <w:r w:rsidR="002A23A0">
              <w:t>seeks to provide</w:t>
            </w:r>
            <w:r w:rsidR="00107E76">
              <w:t xml:space="preserve"> these</w:t>
            </w:r>
            <w:r w:rsidR="002A23A0">
              <w:t xml:space="preserve"> judges greater protection from personal liability by increasing the required </w:t>
            </w:r>
            <w:r w:rsidRPr="00D9603B">
              <w:t xml:space="preserve">bond </w:t>
            </w:r>
            <w:r w:rsidR="002A23A0">
              <w:t xml:space="preserve">amount to </w:t>
            </w:r>
            <w:r w:rsidRPr="00D9603B">
              <w:t xml:space="preserve">not less than $500,000 for </w:t>
            </w:r>
            <w:r w:rsidR="00107E76">
              <w:t xml:space="preserve">certain </w:t>
            </w:r>
            <w:r w:rsidR="002A23A0">
              <w:t>county</w:t>
            </w:r>
            <w:r w:rsidR="002A23A0" w:rsidRPr="00D9603B">
              <w:t xml:space="preserve"> </w:t>
            </w:r>
            <w:r w:rsidRPr="00D9603B">
              <w:t>judge</w:t>
            </w:r>
            <w:r w:rsidR="002A23A0">
              <w:t>s</w:t>
            </w:r>
            <w:r w:rsidRPr="00D9603B">
              <w:t xml:space="preserve"> presiding over guardianship </w:t>
            </w:r>
            <w:r>
              <w:t xml:space="preserve">or probate </w:t>
            </w:r>
            <w:r w:rsidRPr="00D9603B">
              <w:t>proceedings.</w:t>
            </w:r>
          </w:p>
          <w:p w14:paraId="07BF56F4" w14:textId="77777777" w:rsidR="008423E4" w:rsidRPr="00E26B13" w:rsidRDefault="008423E4" w:rsidP="00022D98">
            <w:pPr>
              <w:rPr>
                <w:b/>
              </w:rPr>
            </w:pPr>
          </w:p>
        </w:tc>
      </w:tr>
      <w:tr w:rsidR="00C05139" w14:paraId="343A980A" w14:textId="77777777" w:rsidTr="00345119">
        <w:tc>
          <w:tcPr>
            <w:tcW w:w="9576" w:type="dxa"/>
          </w:tcPr>
          <w:p w14:paraId="50260F48" w14:textId="77777777" w:rsidR="0017725B" w:rsidRDefault="00DC39ED" w:rsidP="00022D98">
            <w:pPr>
              <w:rPr>
                <w:b/>
                <w:u w:val="single"/>
              </w:rPr>
            </w:pPr>
            <w:r>
              <w:rPr>
                <w:b/>
                <w:u w:val="single"/>
              </w:rPr>
              <w:t>CRIMINAL JUSTICE IMPACT</w:t>
            </w:r>
          </w:p>
          <w:p w14:paraId="5F25235B" w14:textId="77777777" w:rsidR="0017725B" w:rsidRDefault="0017725B" w:rsidP="00022D98">
            <w:pPr>
              <w:rPr>
                <w:b/>
                <w:u w:val="single"/>
              </w:rPr>
            </w:pPr>
          </w:p>
          <w:p w14:paraId="1B74237D" w14:textId="51822656" w:rsidR="003C1C3D" w:rsidRPr="003C1C3D" w:rsidRDefault="00DC39ED" w:rsidP="00022D98">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14:paraId="22911E0D" w14:textId="77777777" w:rsidR="0017725B" w:rsidRPr="0017725B" w:rsidRDefault="0017725B" w:rsidP="00022D98">
            <w:pPr>
              <w:rPr>
                <w:b/>
                <w:u w:val="single"/>
              </w:rPr>
            </w:pPr>
          </w:p>
        </w:tc>
      </w:tr>
      <w:tr w:rsidR="00C05139" w14:paraId="234C7F70" w14:textId="77777777" w:rsidTr="00345119">
        <w:tc>
          <w:tcPr>
            <w:tcW w:w="9576" w:type="dxa"/>
          </w:tcPr>
          <w:p w14:paraId="46E77DC4" w14:textId="77777777" w:rsidR="008423E4" w:rsidRPr="00A8133F" w:rsidRDefault="00DC39ED" w:rsidP="00022D98">
            <w:pPr>
              <w:rPr>
                <w:b/>
              </w:rPr>
            </w:pPr>
            <w:r w:rsidRPr="009C1E9A">
              <w:rPr>
                <w:b/>
                <w:u w:val="single"/>
              </w:rPr>
              <w:t>RULEMAKING AUTHORITY</w:t>
            </w:r>
            <w:r>
              <w:rPr>
                <w:b/>
              </w:rPr>
              <w:t xml:space="preserve"> </w:t>
            </w:r>
          </w:p>
          <w:p w14:paraId="39D0A2A4" w14:textId="77777777" w:rsidR="008423E4" w:rsidRDefault="008423E4" w:rsidP="00022D98"/>
          <w:p w14:paraId="0D343241" w14:textId="26789E3D" w:rsidR="003C1C3D" w:rsidRDefault="00DC39ED" w:rsidP="00022D98">
            <w:pPr>
              <w:pStyle w:val="Header"/>
              <w:tabs>
                <w:tab w:val="clear" w:pos="4320"/>
                <w:tab w:val="clear" w:pos="8640"/>
              </w:tabs>
              <w:jc w:val="both"/>
            </w:pPr>
            <w:r>
              <w:t>It is the com</w:t>
            </w:r>
            <w:r>
              <w:t>mittee's opinion that this bill does not expressly grant any additional rulemaking authority to a state officer, department, agency, or institution.</w:t>
            </w:r>
          </w:p>
          <w:p w14:paraId="51AE35A3" w14:textId="77777777" w:rsidR="008423E4" w:rsidRPr="00E21FDC" w:rsidRDefault="008423E4" w:rsidP="00022D98">
            <w:pPr>
              <w:rPr>
                <w:b/>
              </w:rPr>
            </w:pPr>
          </w:p>
        </w:tc>
      </w:tr>
      <w:tr w:rsidR="00C05139" w14:paraId="40B423BA" w14:textId="77777777" w:rsidTr="00345119">
        <w:tc>
          <w:tcPr>
            <w:tcW w:w="9576" w:type="dxa"/>
          </w:tcPr>
          <w:p w14:paraId="48C1C1A1" w14:textId="77777777" w:rsidR="008423E4" w:rsidRPr="00A8133F" w:rsidRDefault="00DC39ED" w:rsidP="00022D98">
            <w:pPr>
              <w:rPr>
                <w:b/>
              </w:rPr>
            </w:pPr>
            <w:r w:rsidRPr="009C1E9A">
              <w:rPr>
                <w:b/>
                <w:u w:val="single"/>
              </w:rPr>
              <w:t>ANALYSIS</w:t>
            </w:r>
            <w:r>
              <w:rPr>
                <w:b/>
              </w:rPr>
              <w:t xml:space="preserve"> </w:t>
            </w:r>
          </w:p>
          <w:p w14:paraId="4C2E2470" w14:textId="77777777" w:rsidR="008423E4" w:rsidRDefault="008423E4" w:rsidP="00022D98"/>
          <w:p w14:paraId="2138CC8F" w14:textId="62DA2C44" w:rsidR="009C36CD" w:rsidRPr="009C36CD" w:rsidRDefault="00DC39ED" w:rsidP="00022D98">
            <w:pPr>
              <w:pStyle w:val="Header"/>
              <w:tabs>
                <w:tab w:val="clear" w:pos="4320"/>
                <w:tab w:val="clear" w:pos="8640"/>
              </w:tabs>
              <w:jc w:val="both"/>
            </w:pPr>
            <w:r>
              <w:t xml:space="preserve">S.B. 2292 amends the </w:t>
            </w:r>
            <w:r w:rsidRPr="003C1C3D">
              <w:t>Government Code</w:t>
            </w:r>
            <w:r>
              <w:t xml:space="preserve"> to </w:t>
            </w:r>
            <w:r w:rsidR="00914AB0">
              <w:t>increas</w:t>
            </w:r>
            <w:r>
              <w:t xml:space="preserve">e the </w:t>
            </w:r>
            <w:r w:rsidR="00914AB0">
              <w:t xml:space="preserve">bond </w:t>
            </w:r>
            <w:r w:rsidR="00A61BF5">
              <w:t>amount</w:t>
            </w:r>
            <w:r w:rsidR="00792451">
              <w:t xml:space="preserve"> set by the applicable county commissioners court</w:t>
            </w:r>
            <w:r w:rsidR="00A61BF5">
              <w:t xml:space="preserve"> that </w:t>
            </w:r>
            <w:r w:rsidR="00383795">
              <w:t xml:space="preserve">the judge of </w:t>
            </w:r>
            <w:r w:rsidR="00B67E3E">
              <w:t>either a</w:t>
            </w:r>
            <w:r w:rsidR="00D9603B">
              <w:t xml:space="preserve"> </w:t>
            </w:r>
            <w:r w:rsidR="00383795">
              <w:t xml:space="preserve">statutory </w:t>
            </w:r>
            <w:r w:rsidR="00B67E3E">
              <w:t xml:space="preserve">county </w:t>
            </w:r>
            <w:r w:rsidR="00383795">
              <w:t>court</w:t>
            </w:r>
            <w:r w:rsidR="00175567">
              <w:t xml:space="preserve"> </w:t>
            </w:r>
            <w:r w:rsidR="00B67E3E">
              <w:t xml:space="preserve">or a </w:t>
            </w:r>
            <w:r w:rsidR="002A23A0">
              <w:t xml:space="preserve">constitutional </w:t>
            </w:r>
            <w:r w:rsidR="00B67E3E">
              <w:t xml:space="preserve">county court </w:t>
            </w:r>
            <w:r w:rsidR="00175567">
              <w:t>presiding over guardianship or probate proceedings</w:t>
            </w:r>
            <w:r w:rsidR="00383795">
              <w:t xml:space="preserve"> is required to </w:t>
            </w:r>
            <w:r w:rsidR="00914AB0">
              <w:t>execute</w:t>
            </w:r>
            <w:r w:rsidR="00A61BF5">
              <w:t xml:space="preserve"> before </w:t>
            </w:r>
            <w:r w:rsidR="00530D1A">
              <w:t>beginning</w:t>
            </w:r>
            <w:r w:rsidR="00A61BF5">
              <w:t xml:space="preserve"> the duties of office </w:t>
            </w:r>
            <w:r w:rsidR="00914AB0">
              <w:t>from</w:t>
            </w:r>
            <w:r w:rsidR="00792451">
              <w:t xml:space="preserve"> not less than </w:t>
            </w:r>
            <w:r w:rsidR="00383795">
              <w:t xml:space="preserve">$100,000 for a court in a county with a population of 125,000 or less or </w:t>
            </w:r>
            <w:r w:rsidR="00792451">
              <w:t xml:space="preserve">not less than </w:t>
            </w:r>
            <w:r w:rsidR="00383795">
              <w:t>$250,000 for a court in a county with a population of more than 125,000</w:t>
            </w:r>
            <w:r w:rsidR="00914AB0">
              <w:t xml:space="preserve"> to </w:t>
            </w:r>
            <w:r w:rsidR="00792451">
              <w:t xml:space="preserve">not less than </w:t>
            </w:r>
            <w:r w:rsidR="00914AB0">
              <w:t>$500,000</w:t>
            </w:r>
            <w:r w:rsidR="00A61BF5">
              <w:t xml:space="preserve"> regardless of the population of the county </w:t>
            </w:r>
            <w:r w:rsidR="00792451">
              <w:t>in which</w:t>
            </w:r>
            <w:r w:rsidR="00A61BF5">
              <w:t xml:space="preserve"> the court is located</w:t>
            </w:r>
            <w:r w:rsidR="00383795" w:rsidRPr="00383795">
              <w:t>.</w:t>
            </w:r>
            <w:r w:rsidR="00383795">
              <w:t xml:space="preserve"> The bill removes </w:t>
            </w:r>
            <w:r w:rsidR="00B67E3E">
              <w:t xml:space="preserve">an exemption from </w:t>
            </w:r>
            <w:r w:rsidR="00D56AA4">
              <w:t xml:space="preserve">provisions relating to </w:t>
            </w:r>
            <w:r w:rsidR="00B67E3E">
              <w:t xml:space="preserve">the bond </w:t>
            </w:r>
            <w:r w:rsidR="00D9603B">
              <w:t>requirement</w:t>
            </w:r>
            <w:r w:rsidR="00D56AA4">
              <w:t xml:space="preserve"> and the removal</w:t>
            </w:r>
            <w:r w:rsidR="00250D2F">
              <w:t xml:space="preserve"> of a statutory county court judge from office</w:t>
            </w:r>
            <w:r w:rsidR="00B67E3E">
              <w:t xml:space="preserve"> </w:t>
            </w:r>
            <w:r w:rsidR="00D9603B" w:rsidRPr="00D9603B">
              <w:t>for a judge of a statutory county court who does not preside over guardianship proceedings</w:t>
            </w:r>
            <w:r w:rsidR="00D9603B">
              <w:t>.</w:t>
            </w:r>
          </w:p>
          <w:p w14:paraId="1B0C44B2" w14:textId="77777777" w:rsidR="008423E4" w:rsidRPr="00835628" w:rsidRDefault="008423E4" w:rsidP="00022D98">
            <w:pPr>
              <w:rPr>
                <w:b/>
              </w:rPr>
            </w:pPr>
          </w:p>
        </w:tc>
      </w:tr>
      <w:tr w:rsidR="00C05139" w14:paraId="2A6B66E0" w14:textId="77777777" w:rsidTr="00345119">
        <w:tc>
          <w:tcPr>
            <w:tcW w:w="9576" w:type="dxa"/>
          </w:tcPr>
          <w:p w14:paraId="59CB5FD9" w14:textId="77777777" w:rsidR="008423E4" w:rsidRPr="00A8133F" w:rsidRDefault="00DC39ED" w:rsidP="00022D98">
            <w:pPr>
              <w:rPr>
                <w:b/>
              </w:rPr>
            </w:pPr>
            <w:r w:rsidRPr="009C1E9A">
              <w:rPr>
                <w:b/>
                <w:u w:val="single"/>
              </w:rPr>
              <w:t>EFFECTIVE DATE</w:t>
            </w:r>
            <w:r>
              <w:rPr>
                <w:b/>
              </w:rPr>
              <w:t xml:space="preserve"> </w:t>
            </w:r>
          </w:p>
          <w:p w14:paraId="6A28FA65" w14:textId="77777777" w:rsidR="008423E4" w:rsidRDefault="008423E4" w:rsidP="00022D98"/>
          <w:p w14:paraId="411AEA7B" w14:textId="7C5B4D98" w:rsidR="008423E4" w:rsidRPr="003624F2" w:rsidRDefault="00DC39ED" w:rsidP="00022D98">
            <w:pPr>
              <w:pStyle w:val="Header"/>
              <w:tabs>
                <w:tab w:val="clear" w:pos="4320"/>
                <w:tab w:val="clear" w:pos="8640"/>
              </w:tabs>
              <w:jc w:val="both"/>
            </w:pPr>
            <w:r>
              <w:t>September 1, 2023.</w:t>
            </w:r>
          </w:p>
          <w:p w14:paraId="40A238D7" w14:textId="77777777" w:rsidR="008423E4" w:rsidRPr="00233FDB" w:rsidRDefault="008423E4" w:rsidP="00022D98">
            <w:pPr>
              <w:rPr>
                <w:b/>
              </w:rPr>
            </w:pPr>
          </w:p>
        </w:tc>
      </w:tr>
    </w:tbl>
    <w:p w14:paraId="75565FE3" w14:textId="77777777" w:rsidR="008423E4" w:rsidRPr="00BE0E75" w:rsidRDefault="008423E4" w:rsidP="00022D98">
      <w:pPr>
        <w:jc w:val="both"/>
        <w:rPr>
          <w:rFonts w:ascii="Arial" w:hAnsi="Arial"/>
          <w:sz w:val="16"/>
          <w:szCs w:val="16"/>
        </w:rPr>
      </w:pPr>
    </w:p>
    <w:p w14:paraId="0DA9705E" w14:textId="77777777" w:rsidR="004108C3" w:rsidRPr="008423E4" w:rsidRDefault="004108C3" w:rsidP="00022D98"/>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E6B7" w14:textId="77777777" w:rsidR="00000000" w:rsidRDefault="00DC39ED">
      <w:r>
        <w:separator/>
      </w:r>
    </w:p>
  </w:endnote>
  <w:endnote w:type="continuationSeparator" w:id="0">
    <w:p w14:paraId="1F32644D" w14:textId="77777777" w:rsidR="00000000" w:rsidRDefault="00DC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D833"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C05139" w14:paraId="6363A750" w14:textId="77777777" w:rsidTr="009C1E9A">
      <w:trPr>
        <w:cantSplit/>
      </w:trPr>
      <w:tc>
        <w:tcPr>
          <w:tcW w:w="0" w:type="pct"/>
        </w:tcPr>
        <w:p w14:paraId="78669481" w14:textId="77777777" w:rsidR="00137D90" w:rsidRDefault="00137D90" w:rsidP="009C1E9A">
          <w:pPr>
            <w:pStyle w:val="Footer"/>
            <w:tabs>
              <w:tab w:val="clear" w:pos="8640"/>
              <w:tab w:val="right" w:pos="9360"/>
            </w:tabs>
          </w:pPr>
        </w:p>
      </w:tc>
      <w:tc>
        <w:tcPr>
          <w:tcW w:w="2395" w:type="pct"/>
        </w:tcPr>
        <w:p w14:paraId="125C103A" w14:textId="77777777" w:rsidR="00137D90" w:rsidRDefault="00137D90" w:rsidP="009C1E9A">
          <w:pPr>
            <w:pStyle w:val="Footer"/>
            <w:tabs>
              <w:tab w:val="clear" w:pos="8640"/>
              <w:tab w:val="right" w:pos="9360"/>
            </w:tabs>
          </w:pPr>
        </w:p>
        <w:p w14:paraId="70E7422E" w14:textId="77777777" w:rsidR="001A4310" w:rsidRDefault="001A4310" w:rsidP="009C1E9A">
          <w:pPr>
            <w:pStyle w:val="Footer"/>
            <w:tabs>
              <w:tab w:val="clear" w:pos="8640"/>
              <w:tab w:val="right" w:pos="9360"/>
            </w:tabs>
          </w:pPr>
        </w:p>
        <w:p w14:paraId="72E2D8FE" w14:textId="77777777" w:rsidR="00137D90" w:rsidRDefault="00137D90" w:rsidP="009C1E9A">
          <w:pPr>
            <w:pStyle w:val="Footer"/>
            <w:tabs>
              <w:tab w:val="clear" w:pos="8640"/>
              <w:tab w:val="right" w:pos="9360"/>
            </w:tabs>
          </w:pPr>
        </w:p>
      </w:tc>
      <w:tc>
        <w:tcPr>
          <w:tcW w:w="2453" w:type="pct"/>
        </w:tcPr>
        <w:p w14:paraId="03AB72E7" w14:textId="77777777" w:rsidR="00137D90" w:rsidRDefault="00137D90" w:rsidP="009C1E9A">
          <w:pPr>
            <w:pStyle w:val="Footer"/>
            <w:tabs>
              <w:tab w:val="clear" w:pos="8640"/>
              <w:tab w:val="right" w:pos="9360"/>
            </w:tabs>
            <w:jc w:val="right"/>
          </w:pPr>
        </w:p>
      </w:tc>
    </w:tr>
    <w:tr w:rsidR="00C05139" w14:paraId="0BE483BB" w14:textId="77777777" w:rsidTr="009C1E9A">
      <w:trPr>
        <w:cantSplit/>
      </w:trPr>
      <w:tc>
        <w:tcPr>
          <w:tcW w:w="0" w:type="pct"/>
        </w:tcPr>
        <w:p w14:paraId="01168607" w14:textId="77777777" w:rsidR="00EC379B" w:rsidRDefault="00EC379B" w:rsidP="009C1E9A">
          <w:pPr>
            <w:pStyle w:val="Footer"/>
            <w:tabs>
              <w:tab w:val="clear" w:pos="8640"/>
              <w:tab w:val="right" w:pos="9360"/>
            </w:tabs>
          </w:pPr>
        </w:p>
      </w:tc>
      <w:tc>
        <w:tcPr>
          <w:tcW w:w="2395" w:type="pct"/>
        </w:tcPr>
        <w:p w14:paraId="5820657A" w14:textId="11A484DB" w:rsidR="00EC379B" w:rsidRPr="009C1E9A" w:rsidRDefault="00DC39ED" w:rsidP="009C1E9A">
          <w:pPr>
            <w:pStyle w:val="Footer"/>
            <w:tabs>
              <w:tab w:val="clear" w:pos="8640"/>
              <w:tab w:val="right" w:pos="9360"/>
            </w:tabs>
            <w:rPr>
              <w:rFonts w:ascii="Shruti" w:hAnsi="Shruti"/>
              <w:sz w:val="22"/>
            </w:rPr>
          </w:pPr>
          <w:r>
            <w:rPr>
              <w:rFonts w:ascii="Shruti" w:hAnsi="Shruti"/>
              <w:sz w:val="22"/>
            </w:rPr>
            <w:t>88R 31074-D</w:t>
          </w:r>
        </w:p>
      </w:tc>
      <w:tc>
        <w:tcPr>
          <w:tcW w:w="2453" w:type="pct"/>
        </w:tcPr>
        <w:p w14:paraId="6DE1D63B" w14:textId="1964D3C4" w:rsidR="00EC379B" w:rsidRDefault="00DC39ED" w:rsidP="009C1E9A">
          <w:pPr>
            <w:pStyle w:val="Footer"/>
            <w:tabs>
              <w:tab w:val="clear" w:pos="8640"/>
              <w:tab w:val="right" w:pos="9360"/>
            </w:tabs>
            <w:jc w:val="right"/>
          </w:pPr>
          <w:r>
            <w:fldChar w:fldCharType="begin"/>
          </w:r>
          <w:r>
            <w:instrText xml:space="preserve"> DOCPROPERTY  OTID  \* MERGEFORMAT </w:instrText>
          </w:r>
          <w:r>
            <w:fldChar w:fldCharType="separate"/>
          </w:r>
          <w:r w:rsidR="00022D98">
            <w:t>23.139.207</w:t>
          </w:r>
          <w:r>
            <w:fldChar w:fldCharType="end"/>
          </w:r>
        </w:p>
      </w:tc>
    </w:tr>
    <w:tr w:rsidR="00C05139" w14:paraId="3E2FBA45" w14:textId="77777777" w:rsidTr="009C1E9A">
      <w:trPr>
        <w:cantSplit/>
      </w:trPr>
      <w:tc>
        <w:tcPr>
          <w:tcW w:w="0" w:type="pct"/>
        </w:tcPr>
        <w:p w14:paraId="589E5ECB" w14:textId="77777777" w:rsidR="00EC379B" w:rsidRDefault="00EC379B" w:rsidP="009C1E9A">
          <w:pPr>
            <w:pStyle w:val="Footer"/>
            <w:tabs>
              <w:tab w:val="clear" w:pos="4320"/>
              <w:tab w:val="clear" w:pos="8640"/>
              <w:tab w:val="left" w:pos="2865"/>
            </w:tabs>
          </w:pPr>
        </w:p>
      </w:tc>
      <w:tc>
        <w:tcPr>
          <w:tcW w:w="2395" w:type="pct"/>
        </w:tcPr>
        <w:p w14:paraId="4EA784F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BA59F53" w14:textId="77777777" w:rsidR="00EC379B" w:rsidRDefault="00EC379B" w:rsidP="006D504F">
          <w:pPr>
            <w:pStyle w:val="Footer"/>
            <w:rPr>
              <w:rStyle w:val="PageNumber"/>
            </w:rPr>
          </w:pPr>
        </w:p>
        <w:p w14:paraId="6BDDFC94" w14:textId="77777777" w:rsidR="00EC379B" w:rsidRDefault="00EC379B" w:rsidP="009C1E9A">
          <w:pPr>
            <w:pStyle w:val="Footer"/>
            <w:tabs>
              <w:tab w:val="clear" w:pos="8640"/>
              <w:tab w:val="right" w:pos="9360"/>
            </w:tabs>
            <w:jc w:val="right"/>
          </w:pPr>
        </w:p>
      </w:tc>
    </w:tr>
    <w:tr w:rsidR="00C05139" w14:paraId="39454825" w14:textId="77777777" w:rsidTr="009C1E9A">
      <w:trPr>
        <w:cantSplit/>
        <w:trHeight w:val="323"/>
      </w:trPr>
      <w:tc>
        <w:tcPr>
          <w:tcW w:w="0" w:type="pct"/>
          <w:gridSpan w:val="3"/>
        </w:tcPr>
        <w:p w14:paraId="4809B053" w14:textId="77777777" w:rsidR="00EC379B" w:rsidRDefault="00DC39E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36BE3007" w14:textId="77777777" w:rsidR="00EC379B" w:rsidRDefault="00EC379B" w:rsidP="009C1E9A">
          <w:pPr>
            <w:pStyle w:val="Footer"/>
            <w:tabs>
              <w:tab w:val="clear" w:pos="8640"/>
              <w:tab w:val="right" w:pos="9360"/>
            </w:tabs>
            <w:jc w:val="center"/>
          </w:pPr>
        </w:p>
      </w:tc>
    </w:tr>
  </w:tbl>
  <w:p w14:paraId="31ED97D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5483"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FBB2" w14:textId="77777777" w:rsidR="00000000" w:rsidRDefault="00DC39ED">
      <w:r>
        <w:separator/>
      </w:r>
    </w:p>
  </w:footnote>
  <w:footnote w:type="continuationSeparator" w:id="0">
    <w:p w14:paraId="71843EEA" w14:textId="77777777" w:rsidR="00000000" w:rsidRDefault="00DC3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89F3"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6737"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F4FC"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3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2D98"/>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07E76"/>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1544"/>
    <w:rsid w:val="0015331F"/>
    <w:rsid w:val="00156AB2"/>
    <w:rsid w:val="00160402"/>
    <w:rsid w:val="00160571"/>
    <w:rsid w:val="00161E93"/>
    <w:rsid w:val="00162C7A"/>
    <w:rsid w:val="00162DAE"/>
    <w:rsid w:val="001639C5"/>
    <w:rsid w:val="00163E45"/>
    <w:rsid w:val="001664C2"/>
    <w:rsid w:val="00171BF2"/>
    <w:rsid w:val="0017347B"/>
    <w:rsid w:val="00175567"/>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97AB8"/>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0D2F"/>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23A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3795"/>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3D"/>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395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0D1A"/>
    <w:rsid w:val="005336BD"/>
    <w:rsid w:val="00534A49"/>
    <w:rsid w:val="005363BB"/>
    <w:rsid w:val="00541B98"/>
    <w:rsid w:val="00543374"/>
    <w:rsid w:val="00545548"/>
    <w:rsid w:val="00546923"/>
    <w:rsid w:val="00551CA6"/>
    <w:rsid w:val="00554CEA"/>
    <w:rsid w:val="00555034"/>
    <w:rsid w:val="005570D2"/>
    <w:rsid w:val="00561528"/>
    <w:rsid w:val="0056153F"/>
    <w:rsid w:val="00561B14"/>
    <w:rsid w:val="00562C87"/>
    <w:rsid w:val="005636BD"/>
    <w:rsid w:val="00563F06"/>
    <w:rsid w:val="005666D5"/>
    <w:rsid w:val="005669A7"/>
    <w:rsid w:val="00566B0A"/>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11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7594"/>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C625C"/>
    <w:rsid w:val="006D3005"/>
    <w:rsid w:val="006D504F"/>
    <w:rsid w:val="006E0CAC"/>
    <w:rsid w:val="006E1CFB"/>
    <w:rsid w:val="006E1F94"/>
    <w:rsid w:val="006E26C1"/>
    <w:rsid w:val="006E30A8"/>
    <w:rsid w:val="006E45B0"/>
    <w:rsid w:val="006E5692"/>
    <w:rsid w:val="006E5F53"/>
    <w:rsid w:val="006F29FB"/>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2451"/>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4AB0"/>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BF5"/>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67E3E"/>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139"/>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02D0"/>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56AA4"/>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603B"/>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9ED"/>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07"/>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96B08D-600D-4680-87FD-E5DDD645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C1C3D"/>
    <w:rPr>
      <w:sz w:val="16"/>
      <w:szCs w:val="16"/>
    </w:rPr>
  </w:style>
  <w:style w:type="paragraph" w:styleId="CommentText">
    <w:name w:val="annotation text"/>
    <w:basedOn w:val="Normal"/>
    <w:link w:val="CommentTextChar"/>
    <w:semiHidden/>
    <w:unhideWhenUsed/>
    <w:rsid w:val="003C1C3D"/>
    <w:rPr>
      <w:sz w:val="20"/>
      <w:szCs w:val="20"/>
    </w:rPr>
  </w:style>
  <w:style w:type="character" w:customStyle="1" w:styleId="CommentTextChar">
    <w:name w:val="Comment Text Char"/>
    <w:basedOn w:val="DefaultParagraphFont"/>
    <w:link w:val="CommentText"/>
    <w:semiHidden/>
    <w:rsid w:val="003C1C3D"/>
  </w:style>
  <w:style w:type="paragraph" w:styleId="CommentSubject">
    <w:name w:val="annotation subject"/>
    <w:basedOn w:val="CommentText"/>
    <w:next w:val="CommentText"/>
    <w:link w:val="CommentSubjectChar"/>
    <w:semiHidden/>
    <w:unhideWhenUsed/>
    <w:rsid w:val="003C1C3D"/>
    <w:rPr>
      <w:b/>
      <w:bCs/>
    </w:rPr>
  </w:style>
  <w:style w:type="character" w:customStyle="1" w:styleId="CommentSubjectChar">
    <w:name w:val="Comment Subject Char"/>
    <w:basedOn w:val="CommentTextChar"/>
    <w:link w:val="CommentSubject"/>
    <w:semiHidden/>
    <w:rsid w:val="003C1C3D"/>
    <w:rPr>
      <w:b/>
      <w:bCs/>
    </w:rPr>
  </w:style>
  <w:style w:type="paragraph" w:styleId="Revision">
    <w:name w:val="Revision"/>
    <w:hidden/>
    <w:uiPriority w:val="99"/>
    <w:semiHidden/>
    <w:rsid w:val="00A61B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2055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BA - SB02292 (Committee Report (Unamended))</vt:lpstr>
    </vt:vector>
  </TitlesOfParts>
  <Company>State of Texas</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31074</dc:subject>
  <dc:creator>State of Texas</dc:creator>
  <dc:description>SB 2292 by Zaffirini-(H)Judiciary &amp; Civil Jurisprudence</dc:description>
  <cp:lastModifiedBy>Damian Duarte</cp:lastModifiedBy>
  <cp:revision>2</cp:revision>
  <cp:lastPrinted>2003-11-26T17:21:00Z</cp:lastPrinted>
  <dcterms:created xsi:type="dcterms:W3CDTF">2023-05-20T15:39:00Z</dcterms:created>
  <dcterms:modified xsi:type="dcterms:W3CDTF">2023-05-20T15:39:00Z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23.139.207</vt:lpwstr>
  </property>
</Properties>
</file>