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3270A" w14:paraId="6164BFAC" w14:textId="77777777" w:rsidTr="00345119">
        <w:tc>
          <w:tcPr>
            <w:tcW w:w="9576" w:type="dxa"/>
            <w:noWrap/>
          </w:tcPr>
          <w:p w14:paraId="199AC42D" w14:textId="77777777" w:rsidR="008423E4" w:rsidRPr="0022177D" w:rsidRDefault="000C67E6" w:rsidP="00DE31DA">
            <w:pPr>
              <w:pStyle w:val="Heading1"/>
            </w:pPr>
            <w:r w:rsidRPr="00631897">
              <w:t>BILL ANALYSIS</w:t>
            </w:r>
          </w:p>
        </w:tc>
      </w:tr>
    </w:tbl>
    <w:p w14:paraId="711A2035" w14:textId="77777777" w:rsidR="008423E4" w:rsidRPr="0022177D" w:rsidRDefault="008423E4" w:rsidP="00DE31DA">
      <w:pPr>
        <w:jc w:val="center"/>
      </w:pPr>
    </w:p>
    <w:p w14:paraId="12527702" w14:textId="77777777" w:rsidR="008423E4" w:rsidRPr="00B31F0E" w:rsidRDefault="008423E4" w:rsidP="00DE31DA"/>
    <w:p w14:paraId="00AC54FB" w14:textId="77777777" w:rsidR="008423E4" w:rsidRPr="00742794" w:rsidRDefault="008423E4" w:rsidP="00DE31D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3270A" w14:paraId="632EB717" w14:textId="77777777" w:rsidTr="00345119">
        <w:tc>
          <w:tcPr>
            <w:tcW w:w="9576" w:type="dxa"/>
          </w:tcPr>
          <w:p w14:paraId="6E44DF12" w14:textId="08E967DF" w:rsidR="008423E4" w:rsidRPr="00861995" w:rsidRDefault="000C67E6" w:rsidP="00DE31DA">
            <w:pPr>
              <w:jc w:val="right"/>
            </w:pPr>
            <w:r>
              <w:t>C.S.S.B. 2476</w:t>
            </w:r>
          </w:p>
        </w:tc>
      </w:tr>
      <w:tr w:rsidR="00F3270A" w14:paraId="4321830A" w14:textId="77777777" w:rsidTr="00345119">
        <w:tc>
          <w:tcPr>
            <w:tcW w:w="9576" w:type="dxa"/>
          </w:tcPr>
          <w:p w14:paraId="1232D4FC" w14:textId="426386A4" w:rsidR="008423E4" w:rsidRPr="00861995" w:rsidRDefault="000C67E6" w:rsidP="00DE31DA">
            <w:pPr>
              <w:jc w:val="right"/>
            </w:pPr>
            <w:r>
              <w:t xml:space="preserve">By: </w:t>
            </w:r>
            <w:r w:rsidR="004E6752">
              <w:t>Zaffirini</w:t>
            </w:r>
          </w:p>
        </w:tc>
      </w:tr>
      <w:tr w:rsidR="00F3270A" w14:paraId="41D9D4E3" w14:textId="77777777" w:rsidTr="00345119">
        <w:tc>
          <w:tcPr>
            <w:tcW w:w="9576" w:type="dxa"/>
          </w:tcPr>
          <w:p w14:paraId="77ACF903" w14:textId="1B8A5DFB" w:rsidR="008423E4" w:rsidRPr="00861995" w:rsidRDefault="000C67E6" w:rsidP="00DE31DA">
            <w:pPr>
              <w:jc w:val="right"/>
            </w:pPr>
            <w:r>
              <w:t>Insurance</w:t>
            </w:r>
          </w:p>
        </w:tc>
      </w:tr>
      <w:tr w:rsidR="00F3270A" w14:paraId="20232D15" w14:textId="77777777" w:rsidTr="00345119">
        <w:tc>
          <w:tcPr>
            <w:tcW w:w="9576" w:type="dxa"/>
          </w:tcPr>
          <w:p w14:paraId="5CC8D869" w14:textId="52C20ECB" w:rsidR="008423E4" w:rsidRDefault="000C67E6" w:rsidP="00DE31DA">
            <w:pPr>
              <w:jc w:val="right"/>
            </w:pPr>
            <w:r>
              <w:t>Committee Report (Substituted)</w:t>
            </w:r>
          </w:p>
        </w:tc>
      </w:tr>
    </w:tbl>
    <w:p w14:paraId="0085388D" w14:textId="77777777" w:rsidR="008423E4" w:rsidRDefault="008423E4" w:rsidP="00DE31DA">
      <w:pPr>
        <w:tabs>
          <w:tab w:val="right" w:pos="9360"/>
        </w:tabs>
      </w:pPr>
    </w:p>
    <w:p w14:paraId="11D73C5D" w14:textId="77777777" w:rsidR="008423E4" w:rsidRDefault="008423E4" w:rsidP="00DE31DA"/>
    <w:p w14:paraId="093365AD" w14:textId="77777777" w:rsidR="008423E4" w:rsidRDefault="008423E4" w:rsidP="00DE31D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3270A" w14:paraId="10876937" w14:textId="77777777" w:rsidTr="00345119">
        <w:tc>
          <w:tcPr>
            <w:tcW w:w="9576" w:type="dxa"/>
          </w:tcPr>
          <w:p w14:paraId="13D04B12" w14:textId="77777777" w:rsidR="008423E4" w:rsidRPr="00A8133F" w:rsidRDefault="000C67E6" w:rsidP="00DE31D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DCA9A0" w14:textId="77777777" w:rsidR="008423E4" w:rsidRDefault="008423E4" w:rsidP="00DE31DA"/>
          <w:p w14:paraId="0464242D" w14:textId="2F11444B" w:rsidR="008423E4" w:rsidRDefault="000C67E6" w:rsidP="00DE31DA">
            <w:pPr>
              <w:pStyle w:val="Header"/>
              <w:jc w:val="both"/>
            </w:pPr>
            <w:r>
              <w:t>In 2019, the Texas Legislature passed S.B. 1294, also known as the Surprise Billing Act, authored by Senator Kelly Hancock. Prior to that legislation, if a health insurer refused to pay the full amount charged by an out-of-network doctor for a medical proc</w:t>
            </w:r>
            <w:r>
              <w:t xml:space="preserve">edure, the doctor could bill the patient for the balance of the cost, often resulting in unexpected bills for patients. </w:t>
            </w:r>
            <w:r w:rsidR="00E3486B">
              <w:t>That legislation</w:t>
            </w:r>
            <w:r>
              <w:t xml:space="preserve"> did not cover</w:t>
            </w:r>
            <w:r w:rsidR="00E3486B" w:rsidRPr="00E3486B">
              <w:t xml:space="preserve"> health care or medical service</w:t>
            </w:r>
            <w:r w:rsidR="00E3486B">
              <w:t>s</w:t>
            </w:r>
            <w:r w:rsidR="00E3486B" w:rsidRPr="00E3486B">
              <w:t xml:space="preserve"> performed</w:t>
            </w:r>
            <w:r w:rsidR="00E3486B">
              <w:t xml:space="preserve"> by an out-of-network emergency medical services provider</w:t>
            </w:r>
            <w:r w:rsidR="00E3486B" w:rsidRPr="00E3486B">
              <w:t xml:space="preserve">, or a covered supply or covered transport related to </w:t>
            </w:r>
            <w:r w:rsidR="00E3486B">
              <w:t>such</w:t>
            </w:r>
            <w:r>
              <w:t xml:space="preserve"> services provided by municipalities, which continue to engage in</w:t>
            </w:r>
            <w:r w:rsidR="00E3486B">
              <w:t xml:space="preserve"> such</w:t>
            </w:r>
            <w:r>
              <w:t xml:space="preserve"> balance billing. </w:t>
            </w:r>
            <w:r w:rsidR="00E3486B">
              <w:t>C.S.</w:t>
            </w:r>
            <w:r>
              <w:t>S.B.</w:t>
            </w:r>
            <w:r w:rsidR="00C16E11">
              <w:t> </w:t>
            </w:r>
            <w:r>
              <w:t xml:space="preserve">2476 </w:t>
            </w:r>
            <w:r w:rsidR="00E3486B">
              <w:t>seeks to</w:t>
            </w:r>
            <w:r>
              <w:t xml:space="preserve"> pro</w:t>
            </w:r>
            <w:r w:rsidR="00573132">
              <w:t xml:space="preserve">vide balance billing protections </w:t>
            </w:r>
            <w:r w:rsidR="000058CA">
              <w:t>relating to</w:t>
            </w:r>
            <w:r w:rsidR="00573132">
              <w:t xml:space="preserve"> such services, supplies, and transport</w:t>
            </w:r>
            <w:r>
              <w:t>.</w:t>
            </w:r>
          </w:p>
          <w:p w14:paraId="10CC8142" w14:textId="77777777" w:rsidR="008423E4" w:rsidRPr="00E26B13" w:rsidRDefault="008423E4" w:rsidP="00DE31DA">
            <w:pPr>
              <w:rPr>
                <w:b/>
              </w:rPr>
            </w:pPr>
          </w:p>
        </w:tc>
      </w:tr>
      <w:tr w:rsidR="00F3270A" w14:paraId="5334C081" w14:textId="77777777" w:rsidTr="00345119">
        <w:tc>
          <w:tcPr>
            <w:tcW w:w="9576" w:type="dxa"/>
          </w:tcPr>
          <w:p w14:paraId="35DC2B36" w14:textId="77777777" w:rsidR="0017725B" w:rsidRDefault="000C67E6" w:rsidP="00DE31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</w:t>
            </w:r>
            <w:r>
              <w:rPr>
                <w:b/>
                <w:u w:val="single"/>
              </w:rPr>
              <w:t>INAL JUSTICE IMPACT</w:t>
            </w:r>
          </w:p>
          <w:p w14:paraId="5A72945A" w14:textId="77777777" w:rsidR="0017725B" w:rsidRDefault="0017725B" w:rsidP="00DE31DA">
            <w:pPr>
              <w:rPr>
                <w:b/>
                <w:u w:val="single"/>
              </w:rPr>
            </w:pPr>
          </w:p>
          <w:p w14:paraId="4D44ED25" w14:textId="684A89D1" w:rsidR="00690908" w:rsidRPr="00690908" w:rsidRDefault="000C67E6" w:rsidP="00DE31D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</w:t>
            </w:r>
            <w:r>
              <w:t>n, parole, or mandatory supervision.</w:t>
            </w:r>
          </w:p>
          <w:p w14:paraId="6506DC0D" w14:textId="77777777" w:rsidR="0017725B" w:rsidRPr="0017725B" w:rsidRDefault="0017725B" w:rsidP="00DE31DA">
            <w:pPr>
              <w:rPr>
                <w:b/>
                <w:u w:val="single"/>
              </w:rPr>
            </w:pPr>
          </w:p>
        </w:tc>
      </w:tr>
      <w:tr w:rsidR="00F3270A" w14:paraId="18EC4667" w14:textId="77777777" w:rsidTr="00345119">
        <w:tc>
          <w:tcPr>
            <w:tcW w:w="9576" w:type="dxa"/>
          </w:tcPr>
          <w:p w14:paraId="29C9F047" w14:textId="77777777" w:rsidR="008423E4" w:rsidRPr="00A8133F" w:rsidRDefault="000C67E6" w:rsidP="00DE31D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3139E59" w14:textId="77777777" w:rsidR="008423E4" w:rsidRDefault="008423E4" w:rsidP="00DE31DA"/>
          <w:p w14:paraId="13DFAC8B" w14:textId="06EAFD28" w:rsidR="00690908" w:rsidRDefault="000C67E6" w:rsidP="00DE31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D3A195F" w14:textId="77777777" w:rsidR="008423E4" w:rsidRPr="00E21FDC" w:rsidRDefault="008423E4" w:rsidP="00DE31DA">
            <w:pPr>
              <w:rPr>
                <w:b/>
              </w:rPr>
            </w:pPr>
          </w:p>
        </w:tc>
      </w:tr>
      <w:tr w:rsidR="00F3270A" w14:paraId="4936888D" w14:textId="77777777" w:rsidTr="00345119">
        <w:tc>
          <w:tcPr>
            <w:tcW w:w="9576" w:type="dxa"/>
          </w:tcPr>
          <w:p w14:paraId="3B559EAE" w14:textId="77777777" w:rsidR="008423E4" w:rsidRPr="00A8133F" w:rsidRDefault="000C67E6" w:rsidP="00DE31D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EB55B11" w14:textId="2D89ADDB" w:rsidR="008423E4" w:rsidRDefault="000C67E6" w:rsidP="00DE31DA">
            <w:r>
              <w:t xml:space="preserve">   </w:t>
            </w:r>
          </w:p>
          <w:p w14:paraId="2ECF3758" w14:textId="38EBA904" w:rsidR="007A4B14" w:rsidRDefault="000C67E6" w:rsidP="00DE31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D459B">
              <w:t xml:space="preserve">S.B. 2476 amends the Insurance Code to </w:t>
            </w:r>
            <w:r w:rsidR="00B6086B">
              <w:t>r</w:t>
            </w:r>
            <w:r>
              <w:t>equire a health maintenance organization</w:t>
            </w:r>
            <w:r w:rsidR="0060008F">
              <w:t xml:space="preserve"> (HMO)</w:t>
            </w:r>
            <w:r w:rsidR="00081D50">
              <w:t xml:space="preserve">, </w:t>
            </w:r>
            <w:r w:rsidR="00081D50" w:rsidRPr="00081D50">
              <w:t>the administrator of a health benefit plan</w:t>
            </w:r>
            <w:r w:rsidR="00D70657">
              <w:t xml:space="preserve"> </w:t>
            </w:r>
            <w:r w:rsidR="00D70657" w:rsidRPr="00D70657">
              <w:t>offered by a nonprofit agricultural organization</w:t>
            </w:r>
            <w:r w:rsidR="00081D50">
              <w:t xml:space="preserve">, </w:t>
            </w:r>
            <w:r w:rsidR="004F3565" w:rsidRPr="004F3565">
              <w:t>an insurer</w:t>
            </w:r>
            <w:r w:rsidR="00D63DBC">
              <w:t xml:space="preserve"> offering a preferred provider benefit plan</w:t>
            </w:r>
            <w:r w:rsidR="004F3565">
              <w:t xml:space="preserve">, </w:t>
            </w:r>
            <w:r w:rsidR="007829B4">
              <w:t xml:space="preserve">and </w:t>
            </w:r>
            <w:r w:rsidR="00353E76" w:rsidRPr="00353E76">
              <w:t xml:space="preserve">the administrator of a managed care plan provided under </w:t>
            </w:r>
            <w:r w:rsidR="001152AA">
              <w:t>the Texas Employees Group Benefits Act, Texas Public School Retired Employees Group Benefit</w:t>
            </w:r>
            <w:r w:rsidR="0070152D">
              <w:t>s</w:t>
            </w:r>
            <w:r w:rsidR="001152AA">
              <w:t xml:space="preserve"> Act, or</w:t>
            </w:r>
            <w:r w:rsidR="00B6086B" w:rsidRPr="00B6086B">
              <w:t xml:space="preserve"> Texas School Employees Uniform Group Health Coverage Act</w:t>
            </w:r>
            <w:r w:rsidR="004F3565">
              <w:t>,</w:t>
            </w:r>
            <w:r w:rsidR="00AB18BA">
              <w:t xml:space="preserve"> as applicable,</w:t>
            </w:r>
            <w:r>
              <w:t xml:space="preserve"> to pay for a covered</w:t>
            </w:r>
            <w:r w:rsidR="00AB18BA">
              <w:t xml:space="preserve"> </w:t>
            </w:r>
            <w:r>
              <w:t>health care</w:t>
            </w:r>
            <w:r w:rsidR="00AB18BA">
              <w:t xml:space="preserve"> or medical care</w:t>
            </w:r>
            <w:r>
              <w:t xml:space="preserve"> service performed for, or a covered supply or transport related to that service provided to an enrollee</w:t>
            </w:r>
            <w:r w:rsidR="00DD1CAD">
              <w:t>, participant,</w:t>
            </w:r>
            <w:r>
              <w:t xml:space="preserve"> </w:t>
            </w:r>
            <w:r w:rsidR="00AB18BA">
              <w:t xml:space="preserve">or insured </w:t>
            </w:r>
            <w:r>
              <w:t>by a non-network emergency medical services provider</w:t>
            </w:r>
            <w:r w:rsidR="00AB18BA">
              <w:t xml:space="preserve"> or out-of-network provider</w:t>
            </w:r>
            <w:r>
              <w:t xml:space="preserve"> </w:t>
            </w:r>
            <w:r w:rsidR="00AB18BA">
              <w:t>who is a</w:t>
            </w:r>
            <w:r w:rsidR="00FF07AA">
              <w:t>n emergency</w:t>
            </w:r>
            <w:r w:rsidR="00AB18BA">
              <w:t xml:space="preserve"> </w:t>
            </w:r>
            <w:r w:rsidR="00AB18BA" w:rsidRPr="00AB18BA">
              <w:t>medical services provider</w:t>
            </w:r>
            <w:r w:rsidR="00AB18BA">
              <w:t>,</w:t>
            </w:r>
            <w:r w:rsidR="00AB18BA" w:rsidRPr="00AB18BA">
              <w:t xml:space="preserve"> </w:t>
            </w:r>
            <w:r>
              <w:t>a</w:t>
            </w:r>
            <w:r w:rsidR="00AD54C1">
              <w:t>s follows:</w:t>
            </w:r>
          </w:p>
          <w:p w14:paraId="283A32C8" w14:textId="1D3ADD62" w:rsidR="007A4B14" w:rsidRDefault="000C67E6" w:rsidP="00DE31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if the political subdivision has submitted the </w:t>
            </w:r>
            <w:r w:rsidR="00AD54C1">
              <w:t xml:space="preserve">balance billing </w:t>
            </w:r>
            <w:r>
              <w:t xml:space="preserve">rate to </w:t>
            </w:r>
            <w:r w:rsidR="00134383" w:rsidRPr="00134383">
              <w:t>the Texas Department of Insurance (TDI)</w:t>
            </w:r>
            <w:r>
              <w:t>,</w:t>
            </w:r>
            <w:r w:rsidR="00AD54C1">
              <w:t xml:space="preserve"> at</w:t>
            </w:r>
            <w:r>
              <w:t xml:space="preserve"> the rate set, controlled, or regulated by the political subdivision in which</w:t>
            </w:r>
            <w:r w:rsidR="00AD54C1">
              <w:t xml:space="preserve"> </w:t>
            </w:r>
            <w:r>
              <w:t>the service originated or</w:t>
            </w:r>
            <w:r w:rsidR="00AD54C1">
              <w:t xml:space="preserve"> </w:t>
            </w:r>
            <w:r>
              <w:t>the tra</w:t>
            </w:r>
            <w:r>
              <w:t>nsport originated if transport is provided; or</w:t>
            </w:r>
          </w:p>
          <w:p w14:paraId="10E2D33C" w14:textId="5DD62EC5" w:rsidR="007A4B14" w:rsidRDefault="000C67E6" w:rsidP="00DE31D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if the political subdivision has not submitted the rate to </w:t>
            </w:r>
            <w:r w:rsidR="00B17991">
              <w:t>TDI</w:t>
            </w:r>
            <w:r>
              <w:t>, the lesser of</w:t>
            </w:r>
            <w:r w:rsidR="00AD54C1">
              <w:t xml:space="preserve"> </w:t>
            </w:r>
            <w:r>
              <w:t>the provider's billed charge or 325 percent of the current Medicare rate, including any applicable extenders and modifiers.</w:t>
            </w:r>
          </w:p>
          <w:p w14:paraId="04B78F08" w14:textId="77777777" w:rsidR="000F71AF" w:rsidRDefault="000F71AF" w:rsidP="00DE31DA">
            <w:pPr>
              <w:pStyle w:val="Header"/>
              <w:jc w:val="both"/>
            </w:pPr>
          </w:p>
          <w:p w14:paraId="601022DE" w14:textId="77777777" w:rsidR="00D63DBC" w:rsidRDefault="000C67E6" w:rsidP="00DE31DA">
            <w:pPr>
              <w:pStyle w:val="Header"/>
              <w:jc w:val="both"/>
            </w:pPr>
            <w:r>
              <w:t>C.S.</w:t>
            </w:r>
            <w:r w:rsidR="000F71AF">
              <w:t>S.B. 2476</w:t>
            </w:r>
            <w:r>
              <w:t>, with respect to such payments, does the following:</w:t>
            </w:r>
            <w:r w:rsidR="00AD54C1">
              <w:t xml:space="preserve"> </w:t>
            </w:r>
          </w:p>
          <w:p w14:paraId="39BC09A2" w14:textId="764BB36B" w:rsidR="00D63DBC" w:rsidRDefault="000C67E6" w:rsidP="00DE31DA">
            <w:pPr>
              <w:pStyle w:val="Header"/>
              <w:numPr>
                <w:ilvl w:val="0"/>
                <w:numId w:val="5"/>
              </w:numPr>
              <w:jc w:val="both"/>
            </w:pPr>
            <w:r>
              <w:t>requires a</w:t>
            </w:r>
            <w:r w:rsidR="001152AA">
              <w:t>n HMO</w:t>
            </w:r>
            <w:r w:rsidR="00081D50">
              <w:t>, administrator,</w:t>
            </w:r>
            <w:r w:rsidR="007A1B98">
              <w:t xml:space="preserve"> or</w:t>
            </w:r>
            <w:r w:rsidR="00081D50">
              <w:t xml:space="preserve"> </w:t>
            </w:r>
            <w:r w:rsidR="00AB18BA">
              <w:t>insurer</w:t>
            </w:r>
            <w:r w:rsidR="0056291C">
              <w:t>, as applicable,</w:t>
            </w:r>
            <w:r w:rsidR="00AB18BA">
              <w:t xml:space="preserve"> </w:t>
            </w:r>
            <w:r>
              <w:t>to</w:t>
            </w:r>
            <w:r w:rsidR="007A4B14">
              <w:t xml:space="preserve"> adjust a payment </w:t>
            </w:r>
            <w:r w:rsidR="00E276D1" w:rsidRPr="00E276D1">
              <w:t>at the rate set, controlled, or regulated by the political subdivision</w:t>
            </w:r>
            <w:r w:rsidR="007A4B14">
              <w:t xml:space="preserve"> each plan year by increasing the payment by the lesser of the Medicare Inflation Index or 10 percent of the provider's previous calendar year rates</w:t>
            </w:r>
            <w:r>
              <w:t>;</w:t>
            </w:r>
          </w:p>
          <w:p w14:paraId="6C1F609B" w14:textId="62D2076B" w:rsidR="00D63DBC" w:rsidRDefault="000C67E6" w:rsidP="00DE31DA">
            <w:pPr>
              <w:pStyle w:val="Header"/>
              <w:numPr>
                <w:ilvl w:val="0"/>
                <w:numId w:val="5"/>
              </w:numPr>
              <w:jc w:val="both"/>
            </w:pPr>
            <w:r>
              <w:t>requires t</w:t>
            </w:r>
            <w:r w:rsidR="007A4B14">
              <w:t xml:space="preserve">he </w:t>
            </w:r>
            <w:r>
              <w:t>HMO</w:t>
            </w:r>
            <w:r w:rsidR="00081D50">
              <w:t xml:space="preserve">, </w:t>
            </w:r>
            <w:r w:rsidR="00081D50" w:rsidRPr="00081D50">
              <w:t>administrator</w:t>
            </w:r>
            <w:r w:rsidR="00081D50">
              <w:t>,</w:t>
            </w:r>
            <w:r w:rsidR="0056291C">
              <w:t xml:space="preserve"> </w:t>
            </w:r>
            <w:r w:rsidR="0056291C" w:rsidRPr="0056291C">
              <w:t>or insurer</w:t>
            </w:r>
            <w:r w:rsidR="007A4B14">
              <w:t xml:space="preserve"> </w:t>
            </w:r>
            <w:r>
              <w:t>to</w:t>
            </w:r>
            <w:r w:rsidR="007A4B14">
              <w:t xml:space="preserve"> make </w:t>
            </w:r>
            <w:r>
              <w:t>the</w:t>
            </w:r>
            <w:r w:rsidR="007A4B14">
              <w:t xml:space="preserve"> payment directly to the provider not later than, as applicable</w:t>
            </w:r>
            <w:r>
              <w:t xml:space="preserve">, </w:t>
            </w:r>
            <w:r w:rsidR="007A4B14">
              <w:t xml:space="preserve">the 30th day after the date the </w:t>
            </w:r>
            <w:r w:rsidR="0056291C">
              <w:t>entity</w:t>
            </w:r>
            <w:r w:rsidR="007A4B14">
              <w:t xml:space="preserve"> receives an electronic  claim</w:t>
            </w:r>
            <w:r w:rsidR="00794200">
              <w:t xml:space="preserve"> </w:t>
            </w:r>
            <w:r w:rsidR="00794200" w:rsidRPr="00794200">
              <w:t xml:space="preserve">for those services that includes all information necessary for the </w:t>
            </w:r>
            <w:r w:rsidR="00794200">
              <w:t>entity</w:t>
            </w:r>
            <w:r w:rsidR="00794200" w:rsidRPr="00794200">
              <w:t xml:space="preserve"> to pay the claim</w:t>
            </w:r>
            <w:r w:rsidR="007A4B14">
              <w:t xml:space="preserve"> </w:t>
            </w:r>
            <w:r>
              <w:t xml:space="preserve">or </w:t>
            </w:r>
            <w:r w:rsidRPr="00E276D1">
              <w:t xml:space="preserve">the 45th day after the date the </w:t>
            </w:r>
            <w:r w:rsidR="0056291C">
              <w:t>entity</w:t>
            </w:r>
            <w:r w:rsidRPr="00E276D1">
              <w:t xml:space="preserve"> receives a nonelectronic claim</w:t>
            </w:r>
            <w:r>
              <w:t xml:space="preserve"> </w:t>
            </w:r>
            <w:r w:rsidR="007A4B14">
              <w:t xml:space="preserve">for those services that includes </w:t>
            </w:r>
            <w:r w:rsidR="00794200">
              <w:t xml:space="preserve">such </w:t>
            </w:r>
            <w:r w:rsidR="007A4B14">
              <w:t>information</w:t>
            </w:r>
            <w:r>
              <w:t>;</w:t>
            </w:r>
          </w:p>
          <w:p w14:paraId="1A4DD8A4" w14:textId="1E8591D7" w:rsidR="003029F8" w:rsidRDefault="000C67E6" w:rsidP="00DE31DA">
            <w:pPr>
              <w:pStyle w:val="Header"/>
              <w:numPr>
                <w:ilvl w:val="0"/>
                <w:numId w:val="5"/>
              </w:numPr>
              <w:jc w:val="both"/>
            </w:pPr>
            <w:r>
              <w:t>prohibits a</w:t>
            </w:r>
            <w:r w:rsidR="007A4B14">
              <w:t xml:space="preserve"> non-network emergency medical services provider </w:t>
            </w:r>
            <w:r w:rsidR="0056291C">
              <w:t>or a</w:t>
            </w:r>
            <w:r w:rsidR="0056291C" w:rsidRPr="0056291C">
              <w:t>n out-of-network provider who is an emergency medical services provide</w:t>
            </w:r>
            <w:r w:rsidR="0056291C">
              <w:t>r, as applicable,</w:t>
            </w:r>
            <w:r w:rsidR="0056291C" w:rsidRPr="0056291C">
              <w:t xml:space="preserve"> </w:t>
            </w:r>
            <w:r w:rsidR="007A4B14">
              <w:t xml:space="preserve">or a person asserting a claim as an agent or assignee of the provider </w:t>
            </w:r>
            <w:r>
              <w:t>from billing</w:t>
            </w:r>
            <w:r w:rsidR="007A4B14">
              <w:t xml:space="preserve"> an enrollee</w:t>
            </w:r>
            <w:r w:rsidR="00DD1CAD">
              <w:t>, participant,</w:t>
            </w:r>
            <w:r w:rsidR="007A4B14">
              <w:t xml:space="preserve"> </w:t>
            </w:r>
            <w:r w:rsidR="0056291C">
              <w:t xml:space="preserve">or insured </w:t>
            </w:r>
            <w:r w:rsidR="007A4B14">
              <w:t>receiving a health care</w:t>
            </w:r>
            <w:r w:rsidR="0056291C">
              <w:t xml:space="preserve"> or medical care</w:t>
            </w:r>
            <w:r w:rsidR="007A4B14">
              <w:t xml:space="preserve"> service or supply or transport in an amount greater than an applicable copayment, coinsurance, and deductible under the </w:t>
            </w:r>
            <w:r>
              <w:t>applicable</w:t>
            </w:r>
            <w:r w:rsidR="0056291C" w:rsidRPr="0056291C">
              <w:t xml:space="preserve"> plan </w:t>
            </w:r>
            <w:r w:rsidR="007A4B14">
              <w:t>that is based on</w:t>
            </w:r>
            <w:r>
              <w:t xml:space="preserve"> </w:t>
            </w:r>
            <w:r w:rsidR="007A4B14">
              <w:t xml:space="preserve">the amount initially determined payable by the </w:t>
            </w:r>
            <w:r w:rsidR="00863C9E">
              <w:t>HMO</w:t>
            </w:r>
            <w:r w:rsidR="00720ED6">
              <w:t xml:space="preserve">, </w:t>
            </w:r>
            <w:r w:rsidR="00720ED6" w:rsidRPr="00720ED6">
              <w:t>administrator</w:t>
            </w:r>
            <w:r w:rsidR="00720ED6">
              <w:t>,</w:t>
            </w:r>
            <w:r w:rsidR="0056291C">
              <w:t xml:space="preserve"> or insurer</w:t>
            </w:r>
            <w:r w:rsidR="007A4B14">
              <w:t xml:space="preserve"> or</w:t>
            </w:r>
            <w:r>
              <w:t xml:space="preserve">, </w:t>
            </w:r>
            <w:r w:rsidR="007A4B14">
              <w:t xml:space="preserve">if applicable, a modified amount as determined under the </w:t>
            </w:r>
            <w:r w:rsidR="0056291C">
              <w:t xml:space="preserve">entity's </w:t>
            </w:r>
            <w:r w:rsidR="007A4B14">
              <w:t>internal appeal process</w:t>
            </w:r>
            <w:r>
              <w:t xml:space="preserve">; </w:t>
            </w:r>
          </w:p>
          <w:p w14:paraId="60E4CB8F" w14:textId="25A7F423" w:rsidR="00B71B6B" w:rsidRDefault="000C67E6" w:rsidP="00DE31DA">
            <w:pPr>
              <w:pStyle w:val="Header"/>
              <w:numPr>
                <w:ilvl w:val="0"/>
                <w:numId w:val="5"/>
              </w:numPr>
              <w:jc w:val="both"/>
            </w:pPr>
            <w:r>
              <w:t>e</w:t>
            </w:r>
            <w:r w:rsidR="003029F8">
              <w:t xml:space="preserve">stablishes that the </w:t>
            </w:r>
            <w:r>
              <w:t>enrollee, insured</w:t>
            </w:r>
            <w:r w:rsidR="00B17991">
              <w:t>,</w:t>
            </w:r>
            <w:r>
              <w:t xml:space="preserve"> or participant, as applicable, does no</w:t>
            </w:r>
            <w:r>
              <w:t xml:space="preserve">t have financial responsibility for such an amount and that the </w:t>
            </w:r>
            <w:r w:rsidR="00863C9E">
              <w:t xml:space="preserve">requirement to pay for the service, supply, or </w:t>
            </w:r>
            <w:r w:rsidR="002B4581">
              <w:t>transport</w:t>
            </w:r>
            <w:r>
              <w:t xml:space="preserve"> may not be construed to require the imposition of a penalty for the violation of certain claims payment provisions; and </w:t>
            </w:r>
          </w:p>
          <w:p w14:paraId="0B1AFFF6" w14:textId="387B5B49" w:rsidR="00B71B6B" w:rsidRDefault="000C67E6" w:rsidP="00DE31DA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defines </w:t>
            </w:r>
            <w:r w:rsidR="00A12A11">
              <w:t>an "</w:t>
            </w:r>
            <w:r>
              <w:t>em</w:t>
            </w:r>
            <w:r w:rsidR="00162CD8">
              <w:t>ergency medical service</w:t>
            </w:r>
            <w:r w:rsidR="0070152D">
              <w:t>s</w:t>
            </w:r>
            <w:r w:rsidR="00162CD8">
              <w:t xml:space="preserve"> provider</w:t>
            </w:r>
            <w:r w:rsidR="00A12A11">
              <w:t>,</w:t>
            </w:r>
            <w:r>
              <w:t>"</w:t>
            </w:r>
            <w:r w:rsidR="00A12A11">
              <w:t xml:space="preserve"> by reference,</w:t>
            </w:r>
            <w:r w:rsidR="007E10FE">
              <w:t xml:space="preserve"> </w:t>
            </w:r>
            <w:r>
              <w:t xml:space="preserve">as </w:t>
            </w:r>
            <w:r w:rsidR="007E10FE" w:rsidRPr="007E10FE">
              <w:t>a person who uses or maintains emergency medical services vehicles, medical equipment, and emergency medical services personnel to provide emergency medical services</w:t>
            </w:r>
            <w:r w:rsidR="007E10FE">
              <w:t xml:space="preserve">, but </w:t>
            </w:r>
            <w:r w:rsidR="007E10FE" w:rsidRPr="007E10FE">
              <w:t>does not include an air ambulance</w:t>
            </w:r>
            <w:r w:rsidR="00A12A11">
              <w:t>.</w:t>
            </w:r>
            <w:r w:rsidR="00D5401F">
              <w:t xml:space="preserve"> </w:t>
            </w:r>
          </w:p>
          <w:p w14:paraId="373522C7" w14:textId="77777777" w:rsidR="00B71B6B" w:rsidRDefault="000C67E6" w:rsidP="00DE31DA">
            <w:pPr>
              <w:pStyle w:val="Header"/>
              <w:jc w:val="both"/>
            </w:pPr>
            <w:r>
              <w:t xml:space="preserve">The bill's provisions regarding </w:t>
            </w:r>
            <w:r w:rsidRPr="00ED2EF9">
              <w:t>non-network and out-of-network emergency medical services providers</w:t>
            </w:r>
            <w:r>
              <w:t xml:space="preserve"> and </w:t>
            </w:r>
            <w:r w:rsidRPr="00ED2EF9">
              <w:t>out-of-network emergency medical services provider payments</w:t>
            </w:r>
            <w:r>
              <w:t xml:space="preserve"> </w:t>
            </w:r>
            <w:r w:rsidR="00AB18BA">
              <w:t>expires September 1, 2025.</w:t>
            </w:r>
            <w:r w:rsidR="000F71AF">
              <w:t xml:space="preserve"> </w:t>
            </w:r>
          </w:p>
          <w:p w14:paraId="32033E9D" w14:textId="77777777" w:rsidR="00B71B6B" w:rsidRDefault="00B71B6B" w:rsidP="00DE31DA">
            <w:pPr>
              <w:pStyle w:val="Header"/>
              <w:jc w:val="both"/>
            </w:pPr>
          </w:p>
          <w:p w14:paraId="3E010A9A" w14:textId="6B933789" w:rsidR="00162CD8" w:rsidRDefault="000C67E6" w:rsidP="00DE31DA">
            <w:pPr>
              <w:pStyle w:val="Header"/>
              <w:jc w:val="both"/>
            </w:pPr>
            <w:r>
              <w:t>C.S.S.B. 2476</w:t>
            </w:r>
            <w:r w:rsidR="000F71AF">
              <w:t xml:space="preserve"> requires the balance billing prohibition notice </w:t>
            </w:r>
            <w:r w:rsidR="003D7FBB">
              <w:t xml:space="preserve">to include the statement of the billing prohibition, and requires </w:t>
            </w:r>
            <w:r w:rsidR="003D7FBB" w:rsidRPr="003D7FBB">
              <w:t>a</w:t>
            </w:r>
            <w:r w:rsidR="007806EA">
              <w:t>n HMO</w:t>
            </w:r>
            <w:r w:rsidR="003D7FBB" w:rsidRPr="003D7FBB">
              <w:t>, administrator, or insurer</w:t>
            </w:r>
            <w:r w:rsidR="000B54D6">
              <w:t xml:space="preserve"> to </w:t>
            </w:r>
            <w:r w:rsidR="000B54D6" w:rsidRPr="000B54D6">
              <w:t xml:space="preserve">provide the explanation of benefits with the notice to a physician or health care provider not later than the date the </w:t>
            </w:r>
            <w:r w:rsidR="007806EA">
              <w:t>entity</w:t>
            </w:r>
            <w:r w:rsidR="007806EA" w:rsidRPr="000B54D6">
              <w:t xml:space="preserve"> </w:t>
            </w:r>
            <w:r w:rsidR="000B54D6" w:rsidRPr="000B54D6">
              <w:t>makes a payment</w:t>
            </w:r>
            <w:r w:rsidR="000B54D6">
              <w:t xml:space="preserve"> </w:t>
            </w:r>
            <w:r w:rsidR="003D7FBB">
              <w:t>under the bill's provisions</w:t>
            </w:r>
            <w:r w:rsidR="000B54D6">
              <w:t>.</w:t>
            </w:r>
          </w:p>
          <w:p w14:paraId="78CF6CAC" w14:textId="4889010A" w:rsidR="003D459B" w:rsidRDefault="003D459B" w:rsidP="00DE31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AF9AE87" w14:textId="4EE3D2B9" w:rsidR="003D459B" w:rsidRDefault="000C67E6" w:rsidP="00DE31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90908">
              <w:t>S.B. 2476</w:t>
            </w:r>
            <w:r w:rsidR="00B6086B" w:rsidRPr="00B6086B">
              <w:t xml:space="preserve"> authorizes a political subdivision to submit to TDI</w:t>
            </w:r>
            <w:r>
              <w:t>, in the form and manner prescribed by the commissioner of insurance,</w:t>
            </w:r>
            <w:r w:rsidR="00B6086B" w:rsidRPr="00B6086B">
              <w:t xml:space="preserve"> a rate set, controlled, or regulated by the political subdivision for purposes </w:t>
            </w:r>
            <w:r w:rsidR="00BE37F9">
              <w:t xml:space="preserve">of </w:t>
            </w:r>
            <w:r w:rsidR="00690908" w:rsidRPr="00690908">
              <w:t>non-network and out-of-network emergency medical services providers and out-of-network emergency medical services provider payments</w:t>
            </w:r>
            <w:r w:rsidR="00B6086B" w:rsidRPr="00B6086B">
              <w:t xml:space="preserve">. The bill requires TDI to establish and maintain on its website a publicly accessible database for the rates. </w:t>
            </w:r>
            <w:r w:rsidR="00970B3D">
              <w:t>These provisions</w:t>
            </w:r>
            <w:r w:rsidR="00B6086B" w:rsidRPr="00B6086B">
              <w:t xml:space="preserve"> expire September 1, 2025.</w:t>
            </w:r>
            <w:r>
              <w:t xml:space="preserve"> The bill expressly does not require TDI to establish the database before January 1, 2024.</w:t>
            </w:r>
          </w:p>
          <w:p w14:paraId="67BB4E77" w14:textId="17BE1E79" w:rsidR="003D459B" w:rsidRDefault="003D459B" w:rsidP="00DE31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A957D3" w14:textId="50CCB86B" w:rsidR="003D459B" w:rsidRPr="009C36CD" w:rsidRDefault="000C67E6" w:rsidP="00DE31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B54D6">
              <w:t>S</w:t>
            </w:r>
            <w:r>
              <w:t>.</w:t>
            </w:r>
            <w:r w:rsidR="000B54D6">
              <w:t>B.</w:t>
            </w:r>
            <w:r>
              <w:t xml:space="preserve"> 2476 </w:t>
            </w:r>
            <w:r w:rsidRPr="003D459B">
              <w:t>appl</w:t>
            </w:r>
            <w:r>
              <w:t>ies</w:t>
            </w:r>
            <w:r w:rsidRPr="003D459B">
              <w:t xml:space="preserve"> only to </w:t>
            </w:r>
            <w:r>
              <w:t>emergency medical</w:t>
            </w:r>
            <w:r w:rsidRPr="003D459B">
              <w:t xml:space="preserve"> service</w:t>
            </w:r>
            <w:r>
              <w:t>s</w:t>
            </w:r>
            <w:r w:rsidRPr="003D459B">
              <w:t xml:space="preserve"> provided on or after January 1, 2024.</w:t>
            </w:r>
            <w:r w:rsidR="002B7646">
              <w:t xml:space="preserve"> </w:t>
            </w:r>
            <w:r w:rsidR="002B7646" w:rsidRPr="002B7646">
              <w:t>Emergency medical services provided before January 1, 2024, are governed by the law in effect immediately before the</w:t>
            </w:r>
            <w:r w:rsidR="002B7646">
              <w:t xml:space="preserve"> bill's</w:t>
            </w:r>
            <w:r w:rsidR="002B7646" w:rsidRPr="002B7646">
              <w:t xml:space="preserve"> effective date, and that law is continued in effect for that purpose.</w:t>
            </w:r>
          </w:p>
          <w:p w14:paraId="5FA49D61" w14:textId="77777777" w:rsidR="008423E4" w:rsidRPr="00835628" w:rsidRDefault="008423E4" w:rsidP="00DE31DA">
            <w:pPr>
              <w:rPr>
                <w:b/>
              </w:rPr>
            </w:pPr>
          </w:p>
        </w:tc>
      </w:tr>
      <w:tr w:rsidR="00F3270A" w14:paraId="1D8003F8" w14:textId="77777777" w:rsidTr="00345119">
        <w:tc>
          <w:tcPr>
            <w:tcW w:w="9576" w:type="dxa"/>
          </w:tcPr>
          <w:p w14:paraId="4C215BCB" w14:textId="77777777" w:rsidR="008423E4" w:rsidRPr="00A8133F" w:rsidRDefault="000C67E6" w:rsidP="00DE31D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6CB5B08" w14:textId="77777777" w:rsidR="008423E4" w:rsidRDefault="008423E4" w:rsidP="00DE31DA"/>
          <w:p w14:paraId="3270050B" w14:textId="57315D07" w:rsidR="008423E4" w:rsidRPr="003624F2" w:rsidRDefault="000C67E6" w:rsidP="00DE31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D459B">
              <w:t>Except as otherwise provided</w:t>
            </w:r>
            <w:r>
              <w:t xml:space="preserve">, </w:t>
            </w:r>
            <w:r w:rsidRPr="003D459B">
              <w:t>September 1, 2023.</w:t>
            </w:r>
          </w:p>
          <w:p w14:paraId="0E7E473F" w14:textId="77777777" w:rsidR="008423E4" w:rsidRPr="00233FDB" w:rsidRDefault="008423E4" w:rsidP="00DE31DA">
            <w:pPr>
              <w:rPr>
                <w:b/>
              </w:rPr>
            </w:pPr>
          </w:p>
        </w:tc>
      </w:tr>
      <w:tr w:rsidR="00F3270A" w14:paraId="294CBB8F" w14:textId="77777777" w:rsidTr="00345119">
        <w:tc>
          <w:tcPr>
            <w:tcW w:w="9576" w:type="dxa"/>
          </w:tcPr>
          <w:p w14:paraId="0EEA0370" w14:textId="77777777" w:rsidR="004E6752" w:rsidRDefault="000C67E6" w:rsidP="00DE31D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SENATE ENGROSSED AND </w:t>
            </w:r>
            <w:r>
              <w:rPr>
                <w:b/>
                <w:u w:val="single"/>
              </w:rPr>
              <w:t>SUBSTITUTE</w:t>
            </w:r>
          </w:p>
          <w:p w14:paraId="6A7A819E" w14:textId="77777777" w:rsidR="00C816E0" w:rsidRDefault="00C816E0" w:rsidP="00DE31DA">
            <w:pPr>
              <w:jc w:val="both"/>
            </w:pPr>
          </w:p>
          <w:p w14:paraId="31971E61" w14:textId="0D028CDC" w:rsidR="00C816E0" w:rsidRDefault="000C67E6" w:rsidP="00DE31DA">
            <w:pPr>
              <w:jc w:val="both"/>
            </w:pPr>
            <w:r>
              <w:t>While C.S.S.B. 2476 may differ from the engrossed in minor or nonsubstantive ways, the following summarizes the substantial differences between the engrossed and committee substitute versions of the bill.</w:t>
            </w:r>
          </w:p>
          <w:p w14:paraId="35E287A0" w14:textId="4E79C557" w:rsidR="00C816E0" w:rsidRDefault="00C816E0" w:rsidP="00DE31DA">
            <w:pPr>
              <w:jc w:val="both"/>
            </w:pPr>
          </w:p>
          <w:p w14:paraId="7CAB2A64" w14:textId="58CBB4F0" w:rsidR="00DE221B" w:rsidRDefault="000C67E6" w:rsidP="00DE31DA">
            <w:pPr>
              <w:jc w:val="both"/>
            </w:pPr>
            <w:r w:rsidRPr="00233018">
              <w:t xml:space="preserve">The substitute revises a provision in </w:t>
            </w:r>
            <w:r w:rsidRPr="00233018">
              <w:t xml:space="preserve">the </w:t>
            </w:r>
            <w:r w:rsidR="003A345A">
              <w:t>engross</w:t>
            </w:r>
            <w:r w:rsidRPr="00233018">
              <w:t xml:space="preserve">ed regarding </w:t>
            </w:r>
            <w:r>
              <w:t>the authorization for a</w:t>
            </w:r>
            <w:r w:rsidRPr="00233018">
              <w:t xml:space="preserve"> political subdivision </w:t>
            </w:r>
            <w:r>
              <w:t>to</w:t>
            </w:r>
            <w:r w:rsidRPr="00233018">
              <w:t xml:space="preserve"> submit to </w:t>
            </w:r>
            <w:r>
              <w:t>TDI</w:t>
            </w:r>
            <w:r w:rsidRPr="00233018">
              <w:t xml:space="preserve"> a </w:t>
            </w:r>
            <w:r>
              <w:t xml:space="preserve">balance billing </w:t>
            </w:r>
            <w:r w:rsidRPr="00233018">
              <w:t>rate set, controlled, or regulated by the political subdivision</w:t>
            </w:r>
            <w:r>
              <w:t xml:space="preserve"> </w:t>
            </w:r>
            <w:r w:rsidRPr="00233018">
              <w:t xml:space="preserve">by </w:t>
            </w:r>
            <w:r>
              <w:t>specifying</w:t>
            </w:r>
            <w:r w:rsidR="00A90A69">
              <w:t xml:space="preserve"> that</w:t>
            </w:r>
            <w:r>
              <w:t xml:space="preserve"> the political subdivision submits the rate in the form and manner pr</w:t>
            </w:r>
            <w:r>
              <w:t xml:space="preserve">escribed by the commissioner of insurance. </w:t>
            </w:r>
          </w:p>
          <w:p w14:paraId="00222E6D" w14:textId="77777777" w:rsidR="00DE221B" w:rsidRDefault="00DE221B" w:rsidP="00DE31DA">
            <w:pPr>
              <w:jc w:val="both"/>
            </w:pPr>
          </w:p>
          <w:p w14:paraId="7EE8E329" w14:textId="2A13F18B" w:rsidR="00DE221B" w:rsidRDefault="000C67E6" w:rsidP="00DE31DA">
            <w:pPr>
              <w:jc w:val="both"/>
            </w:pPr>
            <w:r w:rsidRPr="00233018">
              <w:t xml:space="preserve">Whereas the </w:t>
            </w:r>
            <w:r w:rsidR="003A345A">
              <w:t>engross</w:t>
            </w:r>
            <w:r w:rsidRPr="00233018">
              <w:t xml:space="preserve">ed </w:t>
            </w:r>
            <w:r>
              <w:t xml:space="preserve">made its provisions applicable only </w:t>
            </w:r>
            <w:r w:rsidRPr="00233018">
              <w:t xml:space="preserve">to a ground ambulance service provided on or after January 1, 2024, the substitute </w:t>
            </w:r>
            <w:r>
              <w:t xml:space="preserve">makes its provisions applicable only </w:t>
            </w:r>
            <w:r w:rsidRPr="00233018">
              <w:t>to emergency medical services pro</w:t>
            </w:r>
            <w:r w:rsidRPr="00233018">
              <w:t>vided on or after</w:t>
            </w:r>
            <w:r>
              <w:t xml:space="preserve"> that date. </w:t>
            </w:r>
          </w:p>
          <w:p w14:paraId="1A5C9E0B" w14:textId="77777777" w:rsidR="00DE221B" w:rsidRDefault="00DE221B" w:rsidP="00DE31DA">
            <w:pPr>
              <w:jc w:val="both"/>
            </w:pPr>
          </w:p>
          <w:p w14:paraId="61FFB196" w14:textId="3E2604B5" w:rsidR="00C816E0" w:rsidRPr="00C816E0" w:rsidRDefault="000C67E6" w:rsidP="00DE31DA">
            <w:pPr>
              <w:jc w:val="both"/>
            </w:pPr>
            <w:r w:rsidRPr="00233018">
              <w:t xml:space="preserve">The substitute includes </w:t>
            </w:r>
            <w:r>
              <w:t xml:space="preserve">a provision </w:t>
            </w:r>
            <w:r w:rsidRPr="00233018">
              <w:t xml:space="preserve">absent from the </w:t>
            </w:r>
            <w:r w:rsidR="003A345A">
              <w:t>engross</w:t>
            </w:r>
            <w:r w:rsidRPr="00233018">
              <w:t>ed</w:t>
            </w:r>
            <w:r>
              <w:t xml:space="preserve"> that expressly does not require TDI to establish the </w:t>
            </w:r>
            <w:r w:rsidR="007E1F41" w:rsidRPr="007E1F41">
              <w:t>emergency medical services provider balance billing rate database</w:t>
            </w:r>
            <w:r w:rsidR="007E1F41">
              <w:t xml:space="preserve"> </w:t>
            </w:r>
            <w:r w:rsidR="007E1F41" w:rsidRPr="007E1F41">
              <w:t>before January 1, 2024.</w:t>
            </w:r>
          </w:p>
        </w:tc>
      </w:tr>
      <w:tr w:rsidR="00F3270A" w14:paraId="7A1B714D" w14:textId="77777777" w:rsidTr="00345119">
        <w:tc>
          <w:tcPr>
            <w:tcW w:w="9576" w:type="dxa"/>
          </w:tcPr>
          <w:p w14:paraId="21CABF59" w14:textId="77777777" w:rsidR="004E6752" w:rsidRPr="009C1E9A" w:rsidRDefault="004E6752" w:rsidP="00DE31DA">
            <w:pPr>
              <w:rPr>
                <w:b/>
                <w:u w:val="single"/>
              </w:rPr>
            </w:pPr>
          </w:p>
        </w:tc>
      </w:tr>
      <w:tr w:rsidR="00F3270A" w14:paraId="4E3D9F8D" w14:textId="77777777" w:rsidTr="00345119">
        <w:tc>
          <w:tcPr>
            <w:tcW w:w="9576" w:type="dxa"/>
          </w:tcPr>
          <w:p w14:paraId="06A39FFF" w14:textId="77777777" w:rsidR="004E6752" w:rsidRPr="004E6752" w:rsidRDefault="004E6752" w:rsidP="00DE31DA">
            <w:pPr>
              <w:jc w:val="both"/>
            </w:pPr>
          </w:p>
        </w:tc>
      </w:tr>
    </w:tbl>
    <w:p w14:paraId="532510E4" w14:textId="77777777" w:rsidR="008423E4" w:rsidRPr="00BE0E75" w:rsidRDefault="008423E4" w:rsidP="00DE31DA">
      <w:pPr>
        <w:jc w:val="both"/>
        <w:rPr>
          <w:rFonts w:ascii="Arial" w:hAnsi="Arial"/>
          <w:sz w:val="16"/>
          <w:szCs w:val="16"/>
        </w:rPr>
      </w:pPr>
    </w:p>
    <w:p w14:paraId="5005E5D3" w14:textId="77777777" w:rsidR="004108C3" w:rsidRPr="008423E4" w:rsidRDefault="004108C3" w:rsidP="00DE31D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9402" w14:textId="77777777" w:rsidR="00000000" w:rsidRDefault="000C67E6">
      <w:r>
        <w:separator/>
      </w:r>
    </w:p>
  </w:endnote>
  <w:endnote w:type="continuationSeparator" w:id="0">
    <w:p w14:paraId="5F396D49" w14:textId="77777777" w:rsidR="00000000" w:rsidRDefault="000C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CD8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3270A" w14:paraId="73C52006" w14:textId="77777777" w:rsidTr="009C1E9A">
      <w:trPr>
        <w:cantSplit/>
      </w:trPr>
      <w:tc>
        <w:tcPr>
          <w:tcW w:w="0" w:type="pct"/>
        </w:tcPr>
        <w:p w14:paraId="5CCEF4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739A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07E0B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4529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50E7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270A" w14:paraId="7E51FE28" w14:textId="77777777" w:rsidTr="009C1E9A">
      <w:trPr>
        <w:cantSplit/>
      </w:trPr>
      <w:tc>
        <w:tcPr>
          <w:tcW w:w="0" w:type="pct"/>
        </w:tcPr>
        <w:p w14:paraId="6C6A7D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6A7E17" w14:textId="5C010DC5" w:rsidR="00EC379B" w:rsidRPr="009C1E9A" w:rsidRDefault="000C67E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30125-D</w:t>
          </w:r>
        </w:p>
      </w:tc>
      <w:tc>
        <w:tcPr>
          <w:tcW w:w="2453" w:type="pct"/>
        </w:tcPr>
        <w:p w14:paraId="2C74223B" w14:textId="67A77B34" w:rsidR="00EC379B" w:rsidRDefault="000C67E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57217">
            <w:t>23.132.1561</w:t>
          </w:r>
          <w:r>
            <w:fldChar w:fldCharType="end"/>
          </w:r>
        </w:p>
      </w:tc>
    </w:tr>
    <w:tr w:rsidR="00F3270A" w14:paraId="04962021" w14:textId="77777777" w:rsidTr="009C1E9A">
      <w:trPr>
        <w:cantSplit/>
      </w:trPr>
      <w:tc>
        <w:tcPr>
          <w:tcW w:w="0" w:type="pct"/>
        </w:tcPr>
        <w:p w14:paraId="2A9044B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BA9B20A" w14:textId="26442E31" w:rsidR="00EC379B" w:rsidRPr="009C1E9A" w:rsidRDefault="000C67E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28337</w:t>
          </w:r>
        </w:p>
      </w:tc>
      <w:tc>
        <w:tcPr>
          <w:tcW w:w="2453" w:type="pct"/>
        </w:tcPr>
        <w:p w14:paraId="3820305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EBDD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270A" w14:paraId="5F5243B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E5B5235" w14:textId="77777777" w:rsidR="00EC379B" w:rsidRDefault="000C67E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06D61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FCD16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7F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AE4C" w14:textId="77777777" w:rsidR="00000000" w:rsidRDefault="000C67E6">
      <w:r>
        <w:separator/>
      </w:r>
    </w:p>
  </w:footnote>
  <w:footnote w:type="continuationSeparator" w:id="0">
    <w:p w14:paraId="50770503" w14:textId="77777777" w:rsidR="00000000" w:rsidRDefault="000C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14C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949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165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BE5"/>
    <w:multiLevelType w:val="hybridMultilevel"/>
    <w:tmpl w:val="C5B41544"/>
    <w:lvl w:ilvl="0" w:tplc="8168D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8F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47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68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C9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4A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6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EC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E7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A638E"/>
    <w:multiLevelType w:val="hybridMultilevel"/>
    <w:tmpl w:val="C4FA42C0"/>
    <w:lvl w:ilvl="0" w:tplc="A40E20B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A1C18AA" w:tentative="1">
      <w:start w:val="1"/>
      <w:numFmt w:val="lowerLetter"/>
      <w:lvlText w:val="%2."/>
      <w:lvlJc w:val="left"/>
      <w:pPr>
        <w:ind w:left="1440" w:hanging="360"/>
      </w:pPr>
    </w:lvl>
    <w:lvl w:ilvl="2" w:tplc="B972C204" w:tentative="1">
      <w:start w:val="1"/>
      <w:numFmt w:val="lowerRoman"/>
      <w:lvlText w:val="%3."/>
      <w:lvlJc w:val="right"/>
      <w:pPr>
        <w:ind w:left="2160" w:hanging="180"/>
      </w:pPr>
    </w:lvl>
    <w:lvl w:ilvl="3" w:tplc="C20485A4" w:tentative="1">
      <w:start w:val="1"/>
      <w:numFmt w:val="decimal"/>
      <w:lvlText w:val="%4."/>
      <w:lvlJc w:val="left"/>
      <w:pPr>
        <w:ind w:left="2880" w:hanging="360"/>
      </w:pPr>
    </w:lvl>
    <w:lvl w:ilvl="4" w:tplc="5EE85F86" w:tentative="1">
      <w:start w:val="1"/>
      <w:numFmt w:val="lowerLetter"/>
      <w:lvlText w:val="%5."/>
      <w:lvlJc w:val="left"/>
      <w:pPr>
        <w:ind w:left="3600" w:hanging="360"/>
      </w:pPr>
    </w:lvl>
    <w:lvl w:ilvl="5" w:tplc="F9EA1C12" w:tentative="1">
      <w:start w:val="1"/>
      <w:numFmt w:val="lowerRoman"/>
      <w:lvlText w:val="%6."/>
      <w:lvlJc w:val="right"/>
      <w:pPr>
        <w:ind w:left="4320" w:hanging="180"/>
      </w:pPr>
    </w:lvl>
    <w:lvl w:ilvl="6" w:tplc="3F5652CA" w:tentative="1">
      <w:start w:val="1"/>
      <w:numFmt w:val="decimal"/>
      <w:lvlText w:val="%7."/>
      <w:lvlJc w:val="left"/>
      <w:pPr>
        <w:ind w:left="5040" w:hanging="360"/>
      </w:pPr>
    </w:lvl>
    <w:lvl w:ilvl="7" w:tplc="9A28824C" w:tentative="1">
      <w:start w:val="1"/>
      <w:numFmt w:val="lowerLetter"/>
      <w:lvlText w:val="%8."/>
      <w:lvlJc w:val="left"/>
      <w:pPr>
        <w:ind w:left="5760" w:hanging="360"/>
      </w:pPr>
    </w:lvl>
    <w:lvl w:ilvl="8" w:tplc="1DA21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6DD5"/>
    <w:multiLevelType w:val="hybridMultilevel"/>
    <w:tmpl w:val="B15CAB64"/>
    <w:lvl w:ilvl="0" w:tplc="659C7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8D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C0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6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23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A7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A7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83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44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A0721"/>
    <w:multiLevelType w:val="hybridMultilevel"/>
    <w:tmpl w:val="BF5A5F04"/>
    <w:lvl w:ilvl="0" w:tplc="30881DB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709464A2" w:tentative="1">
      <w:start w:val="1"/>
      <w:numFmt w:val="lowerLetter"/>
      <w:lvlText w:val="%2."/>
      <w:lvlJc w:val="left"/>
      <w:pPr>
        <w:ind w:left="1440" w:hanging="360"/>
      </w:pPr>
    </w:lvl>
    <w:lvl w:ilvl="2" w:tplc="240658E8" w:tentative="1">
      <w:start w:val="1"/>
      <w:numFmt w:val="lowerRoman"/>
      <w:lvlText w:val="%3."/>
      <w:lvlJc w:val="right"/>
      <w:pPr>
        <w:ind w:left="2160" w:hanging="180"/>
      </w:pPr>
    </w:lvl>
    <w:lvl w:ilvl="3" w:tplc="14322294" w:tentative="1">
      <w:start w:val="1"/>
      <w:numFmt w:val="decimal"/>
      <w:lvlText w:val="%4."/>
      <w:lvlJc w:val="left"/>
      <w:pPr>
        <w:ind w:left="2880" w:hanging="360"/>
      </w:pPr>
    </w:lvl>
    <w:lvl w:ilvl="4" w:tplc="E84E9196" w:tentative="1">
      <w:start w:val="1"/>
      <w:numFmt w:val="lowerLetter"/>
      <w:lvlText w:val="%5."/>
      <w:lvlJc w:val="left"/>
      <w:pPr>
        <w:ind w:left="3600" w:hanging="360"/>
      </w:pPr>
    </w:lvl>
    <w:lvl w:ilvl="5" w:tplc="D2A499CA" w:tentative="1">
      <w:start w:val="1"/>
      <w:numFmt w:val="lowerRoman"/>
      <w:lvlText w:val="%6."/>
      <w:lvlJc w:val="right"/>
      <w:pPr>
        <w:ind w:left="4320" w:hanging="180"/>
      </w:pPr>
    </w:lvl>
    <w:lvl w:ilvl="6" w:tplc="6F28E194" w:tentative="1">
      <w:start w:val="1"/>
      <w:numFmt w:val="decimal"/>
      <w:lvlText w:val="%7."/>
      <w:lvlJc w:val="left"/>
      <w:pPr>
        <w:ind w:left="5040" w:hanging="360"/>
      </w:pPr>
    </w:lvl>
    <w:lvl w:ilvl="7" w:tplc="7F16F098" w:tentative="1">
      <w:start w:val="1"/>
      <w:numFmt w:val="lowerLetter"/>
      <w:lvlText w:val="%8."/>
      <w:lvlJc w:val="left"/>
      <w:pPr>
        <w:ind w:left="5760" w:hanging="360"/>
      </w:pPr>
    </w:lvl>
    <w:lvl w:ilvl="8" w:tplc="99942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9E"/>
    <w:multiLevelType w:val="hybridMultilevel"/>
    <w:tmpl w:val="53F080EE"/>
    <w:lvl w:ilvl="0" w:tplc="57B64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EF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8F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7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04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2A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09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0B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AC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22"/>
    <w:rsid w:val="00000A70"/>
    <w:rsid w:val="000032B8"/>
    <w:rsid w:val="00003B06"/>
    <w:rsid w:val="000054B9"/>
    <w:rsid w:val="000058CA"/>
    <w:rsid w:val="00007461"/>
    <w:rsid w:val="0001117E"/>
    <w:rsid w:val="0001125F"/>
    <w:rsid w:val="0001338E"/>
    <w:rsid w:val="00013D24"/>
    <w:rsid w:val="00014AF0"/>
    <w:rsid w:val="000155D6"/>
    <w:rsid w:val="00015D4E"/>
    <w:rsid w:val="00016CFB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D50"/>
    <w:rsid w:val="00084D9B"/>
    <w:rsid w:val="00085A0E"/>
    <w:rsid w:val="000863F3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54D6"/>
    <w:rsid w:val="000B6090"/>
    <w:rsid w:val="000B6FEE"/>
    <w:rsid w:val="000C12C4"/>
    <w:rsid w:val="000C49DA"/>
    <w:rsid w:val="000C4B3D"/>
    <w:rsid w:val="000C67E6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1AF"/>
    <w:rsid w:val="0010154D"/>
    <w:rsid w:val="00102D3F"/>
    <w:rsid w:val="00102EC7"/>
    <w:rsid w:val="0010347D"/>
    <w:rsid w:val="00110F8C"/>
    <w:rsid w:val="0011274A"/>
    <w:rsid w:val="00113522"/>
    <w:rsid w:val="0011378D"/>
    <w:rsid w:val="001152AA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383"/>
    <w:rsid w:val="0013504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CD8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AF1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122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8C1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018"/>
    <w:rsid w:val="0023341D"/>
    <w:rsid w:val="002338DA"/>
    <w:rsid w:val="00233D66"/>
    <w:rsid w:val="00233DB1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581"/>
    <w:rsid w:val="002B5B42"/>
    <w:rsid w:val="002B7646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9F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E76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D3B"/>
    <w:rsid w:val="003847E8"/>
    <w:rsid w:val="0038731D"/>
    <w:rsid w:val="00387B60"/>
    <w:rsid w:val="00390098"/>
    <w:rsid w:val="00392DA1"/>
    <w:rsid w:val="00393718"/>
    <w:rsid w:val="003A0296"/>
    <w:rsid w:val="003A10BC"/>
    <w:rsid w:val="003A345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59B"/>
    <w:rsid w:val="003D726D"/>
    <w:rsid w:val="003D7FBB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752"/>
    <w:rsid w:val="004E6BAE"/>
    <w:rsid w:val="004F32AD"/>
    <w:rsid w:val="004F3565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3EF"/>
    <w:rsid w:val="00551CA6"/>
    <w:rsid w:val="00555034"/>
    <w:rsid w:val="005570D2"/>
    <w:rsid w:val="00561528"/>
    <w:rsid w:val="0056153F"/>
    <w:rsid w:val="00561B14"/>
    <w:rsid w:val="0056291C"/>
    <w:rsid w:val="00562C87"/>
    <w:rsid w:val="005636BD"/>
    <w:rsid w:val="005666D5"/>
    <w:rsid w:val="005669A7"/>
    <w:rsid w:val="00573132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5FEF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08F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908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52D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ED6"/>
    <w:rsid w:val="00721724"/>
    <w:rsid w:val="00722EC5"/>
    <w:rsid w:val="00723326"/>
    <w:rsid w:val="00724252"/>
    <w:rsid w:val="0072556E"/>
    <w:rsid w:val="00727E7A"/>
    <w:rsid w:val="0073163C"/>
    <w:rsid w:val="00731DE3"/>
    <w:rsid w:val="00735B9D"/>
    <w:rsid w:val="007365A5"/>
    <w:rsid w:val="00736FB0"/>
    <w:rsid w:val="0073715A"/>
    <w:rsid w:val="007404BC"/>
    <w:rsid w:val="00740D13"/>
    <w:rsid w:val="00740F5F"/>
    <w:rsid w:val="00742794"/>
    <w:rsid w:val="00743C4C"/>
    <w:rsid w:val="007445B7"/>
    <w:rsid w:val="00744920"/>
    <w:rsid w:val="007509BE"/>
    <w:rsid w:val="00752670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6EA"/>
    <w:rsid w:val="00780FB6"/>
    <w:rsid w:val="007829B4"/>
    <w:rsid w:val="0078523F"/>
    <w:rsid w:val="0078552A"/>
    <w:rsid w:val="00785729"/>
    <w:rsid w:val="00786058"/>
    <w:rsid w:val="0079109A"/>
    <w:rsid w:val="00794200"/>
    <w:rsid w:val="0079487D"/>
    <w:rsid w:val="007966D4"/>
    <w:rsid w:val="00796A0A"/>
    <w:rsid w:val="0079792C"/>
    <w:rsid w:val="007A0989"/>
    <w:rsid w:val="007A1B98"/>
    <w:rsid w:val="007A331F"/>
    <w:rsid w:val="007A3844"/>
    <w:rsid w:val="007A4381"/>
    <w:rsid w:val="007A4B14"/>
    <w:rsid w:val="007A5466"/>
    <w:rsid w:val="007A7EC1"/>
    <w:rsid w:val="007B4FCA"/>
    <w:rsid w:val="007B5F65"/>
    <w:rsid w:val="007B7B85"/>
    <w:rsid w:val="007C462E"/>
    <w:rsid w:val="007C496B"/>
    <w:rsid w:val="007C6803"/>
    <w:rsid w:val="007D2892"/>
    <w:rsid w:val="007D2DCC"/>
    <w:rsid w:val="007D47E1"/>
    <w:rsid w:val="007D7FCB"/>
    <w:rsid w:val="007E10FE"/>
    <w:rsid w:val="007E1F41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963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C9E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CB4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B3D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624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A11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A69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8BA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4C1"/>
    <w:rsid w:val="00AD7780"/>
    <w:rsid w:val="00AE2263"/>
    <w:rsid w:val="00AE248E"/>
    <w:rsid w:val="00AE2D12"/>
    <w:rsid w:val="00AE2F06"/>
    <w:rsid w:val="00AE4499"/>
    <w:rsid w:val="00AE4F1C"/>
    <w:rsid w:val="00AE6757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99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86B"/>
    <w:rsid w:val="00B6104E"/>
    <w:rsid w:val="00B610C7"/>
    <w:rsid w:val="00B61847"/>
    <w:rsid w:val="00B62106"/>
    <w:rsid w:val="00B626A8"/>
    <w:rsid w:val="00B65695"/>
    <w:rsid w:val="00B66526"/>
    <w:rsid w:val="00B665A3"/>
    <w:rsid w:val="00B71B6B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98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7F9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3A7"/>
    <w:rsid w:val="00C119AC"/>
    <w:rsid w:val="00C14EE6"/>
    <w:rsid w:val="00C151DA"/>
    <w:rsid w:val="00C152A1"/>
    <w:rsid w:val="00C16CCB"/>
    <w:rsid w:val="00C16E11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6E0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A39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01F"/>
    <w:rsid w:val="00D55F52"/>
    <w:rsid w:val="00D56508"/>
    <w:rsid w:val="00D6131A"/>
    <w:rsid w:val="00D61611"/>
    <w:rsid w:val="00D61784"/>
    <w:rsid w:val="00D6178A"/>
    <w:rsid w:val="00D63B53"/>
    <w:rsid w:val="00D63DBC"/>
    <w:rsid w:val="00D64B88"/>
    <w:rsid w:val="00D64DC5"/>
    <w:rsid w:val="00D66BA6"/>
    <w:rsid w:val="00D700B1"/>
    <w:rsid w:val="00D70657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1CAD"/>
    <w:rsid w:val="00DD5BCC"/>
    <w:rsid w:val="00DD7509"/>
    <w:rsid w:val="00DD79C7"/>
    <w:rsid w:val="00DD7D6E"/>
    <w:rsid w:val="00DE221B"/>
    <w:rsid w:val="00DE31DA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6D1"/>
    <w:rsid w:val="00E27E5A"/>
    <w:rsid w:val="00E31135"/>
    <w:rsid w:val="00E317BA"/>
    <w:rsid w:val="00E3469B"/>
    <w:rsid w:val="00E3486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217"/>
    <w:rsid w:val="00E61159"/>
    <w:rsid w:val="00E625DA"/>
    <w:rsid w:val="00E634DC"/>
    <w:rsid w:val="00E667F3"/>
    <w:rsid w:val="00E67794"/>
    <w:rsid w:val="00E70CC6"/>
    <w:rsid w:val="00E71254"/>
    <w:rsid w:val="00E734B1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A2F"/>
    <w:rsid w:val="00ED0665"/>
    <w:rsid w:val="00ED12C0"/>
    <w:rsid w:val="00ED19F0"/>
    <w:rsid w:val="00ED2B50"/>
    <w:rsid w:val="00ED2EF9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B9D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70A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67D0E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861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7AA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B26066-5242-4B67-94F1-8126EFD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D45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4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5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4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459B"/>
    <w:rPr>
      <w:b/>
      <w:bCs/>
    </w:rPr>
  </w:style>
  <w:style w:type="paragraph" w:styleId="Revision">
    <w:name w:val="Revision"/>
    <w:hidden/>
    <w:uiPriority w:val="99"/>
    <w:semiHidden/>
    <w:rsid w:val="00791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6059</Characters>
  <Application>Microsoft Office Word</Application>
  <DocSecurity>4</DocSecurity>
  <Lines>124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SB02476 (Committee Report (Substituted))</vt:lpstr>
    </vt:vector>
  </TitlesOfParts>
  <Company>State of Texas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30125</dc:subject>
  <dc:creator>State of Texas</dc:creator>
  <dc:description>SB 2476 by Zaffirini-(H)Insurance (Substitute Document Number: 88R 28337)</dc:description>
  <cp:lastModifiedBy>Thomas Weis</cp:lastModifiedBy>
  <cp:revision>2</cp:revision>
  <cp:lastPrinted>2003-11-26T17:21:00Z</cp:lastPrinted>
  <dcterms:created xsi:type="dcterms:W3CDTF">2023-05-15T17:40:00Z</dcterms:created>
  <dcterms:modified xsi:type="dcterms:W3CDTF">2023-05-15T17:40:00Z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23.132.1561</vt:lpwstr>
  </property>
</Properties>
</file>