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7405F" w14:paraId="3BB6F948" w14:textId="77777777" w:rsidTr="00345119">
        <w:tc>
          <w:tcPr>
            <w:tcW w:w="9576" w:type="dxa"/>
            <w:noWrap/>
          </w:tcPr>
          <w:p w14:paraId="028ECF65" w14:textId="77777777" w:rsidR="008423E4" w:rsidRPr="0022177D" w:rsidRDefault="00945CBD" w:rsidP="00135048">
            <w:pPr>
              <w:pStyle w:val="Heading1"/>
            </w:pPr>
            <w:r w:rsidRPr="00631897">
              <w:t>BILL ANALYSIS</w:t>
            </w:r>
          </w:p>
        </w:tc>
      </w:tr>
    </w:tbl>
    <w:p w14:paraId="758623B6" w14:textId="77777777" w:rsidR="008423E4" w:rsidRPr="0022177D" w:rsidRDefault="008423E4" w:rsidP="00135048">
      <w:pPr>
        <w:jc w:val="center"/>
      </w:pPr>
    </w:p>
    <w:p w14:paraId="3614E4D2" w14:textId="77777777" w:rsidR="008423E4" w:rsidRPr="00B31F0E" w:rsidRDefault="008423E4" w:rsidP="00135048"/>
    <w:p w14:paraId="5A9B0EC0" w14:textId="77777777" w:rsidR="008423E4" w:rsidRPr="00742794" w:rsidRDefault="008423E4" w:rsidP="0013504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7405F" w14:paraId="3699CBE6" w14:textId="77777777" w:rsidTr="00345119">
        <w:tc>
          <w:tcPr>
            <w:tcW w:w="9576" w:type="dxa"/>
          </w:tcPr>
          <w:p w14:paraId="0991BA03" w14:textId="36A65EC0" w:rsidR="008423E4" w:rsidRPr="00861995" w:rsidRDefault="00945CBD" w:rsidP="00135048">
            <w:pPr>
              <w:jc w:val="right"/>
            </w:pPr>
            <w:r>
              <w:t>C.S.S.B. 2548</w:t>
            </w:r>
          </w:p>
        </w:tc>
      </w:tr>
      <w:tr w:rsidR="00C7405F" w14:paraId="5DEF3B83" w14:textId="77777777" w:rsidTr="00345119">
        <w:tc>
          <w:tcPr>
            <w:tcW w:w="9576" w:type="dxa"/>
          </w:tcPr>
          <w:p w14:paraId="453002FB" w14:textId="11749735" w:rsidR="008423E4" w:rsidRPr="00861995" w:rsidRDefault="00945CBD" w:rsidP="00135048">
            <w:pPr>
              <w:jc w:val="right"/>
            </w:pPr>
            <w:r>
              <w:t xml:space="preserve">By: </w:t>
            </w:r>
            <w:r w:rsidR="000414B5">
              <w:t>Middleton</w:t>
            </w:r>
          </w:p>
        </w:tc>
      </w:tr>
      <w:tr w:rsidR="00C7405F" w14:paraId="2DCF6147" w14:textId="77777777" w:rsidTr="00345119">
        <w:tc>
          <w:tcPr>
            <w:tcW w:w="9576" w:type="dxa"/>
          </w:tcPr>
          <w:p w14:paraId="3DCAF2BF" w14:textId="452EE3FE" w:rsidR="008423E4" w:rsidRPr="00861995" w:rsidRDefault="00945CBD" w:rsidP="00135048">
            <w:pPr>
              <w:jc w:val="right"/>
            </w:pPr>
            <w:r>
              <w:t>Juvenile Justice &amp; Family Issues</w:t>
            </w:r>
          </w:p>
        </w:tc>
      </w:tr>
      <w:tr w:rsidR="00C7405F" w14:paraId="610A8641" w14:textId="77777777" w:rsidTr="00345119">
        <w:tc>
          <w:tcPr>
            <w:tcW w:w="9576" w:type="dxa"/>
          </w:tcPr>
          <w:p w14:paraId="07D3BD1C" w14:textId="0928DF41" w:rsidR="008423E4" w:rsidRDefault="00945CBD" w:rsidP="00135048">
            <w:pPr>
              <w:jc w:val="right"/>
            </w:pPr>
            <w:r>
              <w:t>Committee Report (Substituted)</w:t>
            </w:r>
          </w:p>
        </w:tc>
      </w:tr>
    </w:tbl>
    <w:p w14:paraId="6BCD5675" w14:textId="77777777" w:rsidR="008423E4" w:rsidRDefault="008423E4" w:rsidP="00135048">
      <w:pPr>
        <w:tabs>
          <w:tab w:val="right" w:pos="9360"/>
        </w:tabs>
      </w:pPr>
    </w:p>
    <w:p w14:paraId="3F7AC775" w14:textId="77777777" w:rsidR="008423E4" w:rsidRDefault="008423E4" w:rsidP="00135048"/>
    <w:p w14:paraId="64429E35" w14:textId="77777777" w:rsidR="008423E4" w:rsidRDefault="008423E4" w:rsidP="0013504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34"/>
      </w:tblGrid>
      <w:tr w:rsidR="00C7405F" w14:paraId="2F824460" w14:textId="77777777" w:rsidTr="0055206E">
        <w:tc>
          <w:tcPr>
            <w:tcW w:w="9334" w:type="dxa"/>
          </w:tcPr>
          <w:p w14:paraId="6ABC34C3" w14:textId="77777777" w:rsidR="008423E4" w:rsidRPr="00A8133F" w:rsidRDefault="00945CBD" w:rsidP="0013504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141110E" w14:textId="77777777" w:rsidR="008423E4" w:rsidRDefault="008423E4" w:rsidP="00135048"/>
          <w:p w14:paraId="4838155C" w14:textId="416219D0" w:rsidR="008423E4" w:rsidRDefault="00945CBD" w:rsidP="001350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65F11">
              <w:t xml:space="preserve">Once </w:t>
            </w:r>
            <w:r w:rsidR="008E63E9">
              <w:t xml:space="preserve">a </w:t>
            </w:r>
            <w:r w:rsidRPr="00D65F11">
              <w:t>parent</w:t>
            </w:r>
            <w:r w:rsidR="008E63E9">
              <w:t xml:space="preserve"> is</w:t>
            </w:r>
            <w:r w:rsidRPr="00D65F11">
              <w:t xml:space="preserve"> stabilized</w:t>
            </w:r>
            <w:r w:rsidR="00126BC4">
              <w:t xml:space="preserve"> following the removal of their child from the home</w:t>
            </w:r>
            <w:r w:rsidRPr="00D65F11">
              <w:t xml:space="preserve">, the </w:t>
            </w:r>
            <w:r w:rsidR="008E63E9">
              <w:t>c</w:t>
            </w:r>
            <w:r w:rsidRPr="00D65F11">
              <w:t xml:space="preserve">ourt can allow a monitored return </w:t>
            </w:r>
            <w:r w:rsidR="00126BC4">
              <w:t xml:space="preserve">of the child </w:t>
            </w:r>
            <w:r w:rsidRPr="00D65F11">
              <w:t xml:space="preserve">to the parent. However, Department of Family and Protective Services (DFPS) </w:t>
            </w:r>
            <w:r w:rsidR="008E63E9">
              <w:t>rules allow the removal of</w:t>
            </w:r>
            <w:r w:rsidRPr="00D65F11">
              <w:t xml:space="preserve"> a child from a monitored return on grounds which</w:t>
            </w:r>
            <w:r w:rsidRPr="00D65F11">
              <w:t xml:space="preserve"> would not justify an initial removal.</w:t>
            </w:r>
            <w:r>
              <w:t xml:space="preserve"> </w:t>
            </w:r>
            <w:r w:rsidR="00D231D0" w:rsidRPr="00D231D0">
              <w:t>C.S.S.B. 2548</w:t>
            </w:r>
            <w:r w:rsidR="00D231D0">
              <w:t xml:space="preserve"> </w:t>
            </w:r>
            <w:r w:rsidR="008E63E9">
              <w:t xml:space="preserve">seeks to </w:t>
            </w:r>
            <w:r w:rsidR="00565217">
              <w:t xml:space="preserve">prohibit DFPS from moving a child placed in a parent's home without </w:t>
            </w:r>
            <w:r w:rsidRPr="00D65F11">
              <w:t>a</w:t>
            </w:r>
            <w:r w:rsidR="006C49D7">
              <w:t xml:space="preserve"> court order after proper notice and a</w:t>
            </w:r>
            <w:r w:rsidRPr="00D65F11">
              <w:t xml:space="preserve"> hearing</w:t>
            </w:r>
            <w:r w:rsidR="00565217">
              <w:t xml:space="preserve"> and sets out conditions under which the court may order such a move</w:t>
            </w:r>
            <w:r w:rsidRPr="00D65F11">
              <w:t xml:space="preserve">. </w:t>
            </w:r>
            <w:r w:rsidR="00565217">
              <w:t>The bill provides for the move of a child in an emergency and requires</w:t>
            </w:r>
            <w:r w:rsidR="00D112AC">
              <w:t xml:space="preserve"> a court, after proper notice</w:t>
            </w:r>
            <w:r w:rsidR="00EF0586">
              <w:t>,</w:t>
            </w:r>
            <w:r w:rsidR="00D112AC">
              <w:t xml:space="preserve"> </w:t>
            </w:r>
            <w:r w:rsidR="00EF0586">
              <w:t xml:space="preserve">to </w:t>
            </w:r>
            <w:r w:rsidR="00D112AC">
              <w:t>hold</w:t>
            </w:r>
            <w:r w:rsidRPr="00D65F11">
              <w:t xml:space="preserve"> a hearing within three days</w:t>
            </w:r>
            <w:r w:rsidR="00565217">
              <w:t xml:space="preserve"> </w:t>
            </w:r>
            <w:r w:rsidR="00EF0586">
              <w:t>after the child is moved from the home</w:t>
            </w:r>
            <w:r w:rsidR="00565217">
              <w:t>.</w:t>
            </w:r>
          </w:p>
          <w:p w14:paraId="2A984B02" w14:textId="77777777" w:rsidR="008423E4" w:rsidRPr="00E26B13" w:rsidRDefault="008423E4" w:rsidP="00135048">
            <w:pPr>
              <w:rPr>
                <w:b/>
              </w:rPr>
            </w:pPr>
          </w:p>
        </w:tc>
      </w:tr>
      <w:tr w:rsidR="00C7405F" w14:paraId="2C42B0B1" w14:textId="77777777" w:rsidTr="0055206E">
        <w:tc>
          <w:tcPr>
            <w:tcW w:w="9334" w:type="dxa"/>
          </w:tcPr>
          <w:p w14:paraId="3385D6A4" w14:textId="77777777" w:rsidR="0017725B" w:rsidRDefault="00945CBD" w:rsidP="001350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0881B29" w14:textId="77777777" w:rsidR="0017725B" w:rsidRDefault="0017725B" w:rsidP="00135048">
            <w:pPr>
              <w:rPr>
                <w:b/>
                <w:u w:val="single"/>
              </w:rPr>
            </w:pPr>
          </w:p>
          <w:p w14:paraId="58E9BDAA" w14:textId="1A1DFACD" w:rsidR="00B732F7" w:rsidRPr="00B732F7" w:rsidRDefault="00945CBD" w:rsidP="00135048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AF1E09C" w14:textId="77777777" w:rsidR="0017725B" w:rsidRPr="0017725B" w:rsidRDefault="0017725B" w:rsidP="00135048">
            <w:pPr>
              <w:rPr>
                <w:b/>
                <w:u w:val="single"/>
              </w:rPr>
            </w:pPr>
          </w:p>
        </w:tc>
      </w:tr>
      <w:tr w:rsidR="00C7405F" w14:paraId="456567F5" w14:textId="77777777" w:rsidTr="0055206E">
        <w:tc>
          <w:tcPr>
            <w:tcW w:w="9334" w:type="dxa"/>
          </w:tcPr>
          <w:p w14:paraId="15813F0F" w14:textId="77777777" w:rsidR="008423E4" w:rsidRPr="00A8133F" w:rsidRDefault="00945CBD" w:rsidP="0013504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A5CE43D" w14:textId="77777777" w:rsidR="008423E4" w:rsidRDefault="008423E4" w:rsidP="00135048"/>
          <w:p w14:paraId="592D92F7" w14:textId="446BEBFE" w:rsidR="00B732F7" w:rsidRDefault="00945CBD" w:rsidP="001350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16047E13" w14:textId="77777777" w:rsidR="008423E4" w:rsidRPr="00E21FDC" w:rsidRDefault="008423E4" w:rsidP="00135048">
            <w:pPr>
              <w:rPr>
                <w:b/>
              </w:rPr>
            </w:pPr>
          </w:p>
        </w:tc>
      </w:tr>
      <w:tr w:rsidR="00C7405F" w14:paraId="16A1B9DD" w14:textId="77777777" w:rsidTr="0055206E">
        <w:tc>
          <w:tcPr>
            <w:tcW w:w="9334" w:type="dxa"/>
          </w:tcPr>
          <w:p w14:paraId="5E51FFAA" w14:textId="77777777" w:rsidR="008423E4" w:rsidRPr="00A8133F" w:rsidRDefault="00945CBD" w:rsidP="0013504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AC9F88C" w14:textId="77777777" w:rsidR="008423E4" w:rsidRDefault="008423E4" w:rsidP="00135048"/>
          <w:p w14:paraId="321D87C8" w14:textId="6E3B5D1A" w:rsidR="00FA227B" w:rsidRDefault="00945CBD" w:rsidP="001350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D19A0">
              <w:t xml:space="preserve">C.S.S.B. 2548 </w:t>
            </w:r>
            <w:r>
              <w:t xml:space="preserve">amends the Family Code to prohibit the Department of Family and Protective Services </w:t>
            </w:r>
            <w:r w:rsidR="0055206E">
              <w:t xml:space="preserve">(DFPS) </w:t>
            </w:r>
            <w:r>
              <w:t xml:space="preserve">from moving a child who has been placed in the home of a parent </w:t>
            </w:r>
            <w:r w:rsidR="005145C7">
              <w:t xml:space="preserve">under a monitored return </w:t>
            </w:r>
            <w:r>
              <w:t>from that home without a</w:t>
            </w:r>
            <w:r w:rsidR="006803BA">
              <w:t xml:space="preserve"> court order after proper notice and a</w:t>
            </w:r>
            <w:r>
              <w:t xml:space="preserve"> hearing.</w:t>
            </w:r>
            <w:r w:rsidR="00D63906">
              <w:t xml:space="preserve"> However, t</w:t>
            </w:r>
            <w:r w:rsidR="0055206E">
              <w:t>he bill authorizes a</w:t>
            </w:r>
            <w:r>
              <w:t xml:space="preserve">n authorized representative of </w:t>
            </w:r>
            <w:r w:rsidR="0055206E">
              <w:t>DFPS</w:t>
            </w:r>
            <w:r>
              <w:t xml:space="preserve">, a law enforcement officer, or a juvenile probation officer </w:t>
            </w:r>
            <w:r w:rsidR="0055206E">
              <w:t xml:space="preserve">to </w:t>
            </w:r>
            <w:r>
              <w:t>take possession of the child and move the child from the home in an emergency</w:t>
            </w:r>
            <w:r w:rsidR="00635916">
              <w:t>,</w:t>
            </w:r>
            <w:r>
              <w:t xml:space="preserve"> in accordance</w:t>
            </w:r>
            <w:r w:rsidR="00D63906">
              <w:t xml:space="preserve"> with state law</w:t>
            </w:r>
            <w:r w:rsidR="005145C7">
              <w:t xml:space="preserve"> authorizing taking possession of a child in an emergency without a court order</w:t>
            </w:r>
            <w:r>
              <w:t xml:space="preserve">. </w:t>
            </w:r>
            <w:r w:rsidR="0055206E">
              <w:t>The bill requires D</w:t>
            </w:r>
            <w:r w:rsidR="005C495D">
              <w:t>FP</w:t>
            </w:r>
            <w:r w:rsidR="0055206E">
              <w:t>S</w:t>
            </w:r>
            <w:r>
              <w:t xml:space="preserve">, </w:t>
            </w:r>
            <w:r w:rsidR="00272E52">
              <w:t>the</w:t>
            </w:r>
            <w:r>
              <w:t xml:space="preserve"> officer, or probation officer</w:t>
            </w:r>
            <w:r w:rsidR="0055206E">
              <w:t xml:space="preserve">, </w:t>
            </w:r>
            <w:r w:rsidR="00D63906" w:rsidRPr="00D63906">
              <w:t xml:space="preserve">before moving </w:t>
            </w:r>
            <w:r w:rsidR="00D63906">
              <w:t>th</w:t>
            </w:r>
            <w:r w:rsidR="007E6A7D">
              <w:t>e</w:t>
            </w:r>
            <w:r w:rsidR="00D63906" w:rsidRPr="00D63906">
              <w:t xml:space="preserve"> child from the home</w:t>
            </w:r>
            <w:r w:rsidR="00D63906">
              <w:t xml:space="preserve">, </w:t>
            </w:r>
            <w:r>
              <w:t>to the extent practicable</w:t>
            </w:r>
            <w:r w:rsidR="0055206E">
              <w:t>,</w:t>
            </w:r>
            <w:r>
              <w:t xml:space="preserve"> </w:t>
            </w:r>
            <w:r w:rsidR="00D63906">
              <w:t xml:space="preserve">to </w:t>
            </w:r>
            <w:r>
              <w:t xml:space="preserve">obtain consent to </w:t>
            </w:r>
            <w:r w:rsidR="00D63906">
              <w:t>do so</w:t>
            </w:r>
            <w:r>
              <w:t xml:space="preserve"> from the child's attorney ad litem and guardian ad litem</w:t>
            </w:r>
            <w:r w:rsidR="00272E52">
              <w:t>.</w:t>
            </w:r>
            <w:r w:rsidR="0055206E">
              <w:t xml:space="preserve"> </w:t>
            </w:r>
            <w:r w:rsidR="00D63906">
              <w:t>I</w:t>
            </w:r>
            <w:r w:rsidR="0006712C">
              <w:t>f a child is moved from the home in an emergency as authorized</w:t>
            </w:r>
            <w:r w:rsidR="00635916">
              <w:t>,</w:t>
            </w:r>
            <w:r w:rsidR="00D63906">
              <w:t xml:space="preserve"> the </w:t>
            </w:r>
            <w:r w:rsidR="00D63906" w:rsidRPr="00D63906">
              <w:t>court</w:t>
            </w:r>
            <w:r w:rsidR="00635916">
              <w:t>,</w:t>
            </w:r>
            <w:r w:rsidR="00D63906" w:rsidRPr="00D63906">
              <w:t xml:space="preserve"> after proper notice</w:t>
            </w:r>
            <w:r w:rsidR="00635916">
              <w:t>,</w:t>
            </w:r>
            <w:r w:rsidR="00D63906">
              <w:t xml:space="preserve"> </w:t>
            </w:r>
            <w:r w:rsidR="00126BC4">
              <w:t xml:space="preserve">is required to </w:t>
            </w:r>
            <w:r w:rsidR="00D63906" w:rsidRPr="00D63906">
              <w:t>hold a hearing on the move</w:t>
            </w:r>
            <w:r w:rsidR="00126BC4">
              <w:t xml:space="preserve"> and to do so</w:t>
            </w:r>
            <w:r w:rsidR="00644FF3">
              <w:t xml:space="preserve"> </w:t>
            </w:r>
            <w:r>
              <w:t>before the end of the third day after the day</w:t>
            </w:r>
            <w:r>
              <w:t xml:space="preserve"> the child is moved from the home.</w:t>
            </w:r>
          </w:p>
          <w:p w14:paraId="31EED7E0" w14:textId="77777777" w:rsidR="00FA227B" w:rsidRDefault="00FA227B" w:rsidP="00135048">
            <w:pPr>
              <w:pStyle w:val="Header"/>
              <w:jc w:val="both"/>
            </w:pPr>
          </w:p>
          <w:p w14:paraId="520732CA" w14:textId="04D03277" w:rsidR="00FA227B" w:rsidRDefault="00945CBD" w:rsidP="00135048">
            <w:pPr>
              <w:pStyle w:val="Header"/>
              <w:jc w:val="both"/>
            </w:pPr>
            <w:r w:rsidRPr="002D19A0">
              <w:t xml:space="preserve">C.S.S.B. 2548 </w:t>
            </w:r>
            <w:r w:rsidR="0006712C">
              <w:t>authorizes the court to</w:t>
            </w:r>
            <w:r>
              <w:t xml:space="preserve"> order a child to be moved from the home or render an order</w:t>
            </w:r>
            <w:r w:rsidR="005145C7">
              <w:t xml:space="preserve"> terminating the monitored return or an applicable transition order</w:t>
            </w:r>
            <w:r>
              <w:t xml:space="preserve"> only if, after</w:t>
            </w:r>
            <w:r w:rsidR="00EA193F">
              <w:t xml:space="preserve"> proper notice and</w:t>
            </w:r>
            <w:r>
              <w:t xml:space="preserve"> a hearing, the court fi</w:t>
            </w:r>
            <w:r>
              <w:t>nds by a preponderance of evidence</w:t>
            </w:r>
            <w:r w:rsidR="0006712C">
              <w:t xml:space="preserve"> </w:t>
            </w:r>
            <w:r w:rsidR="00D63906">
              <w:t>that</w:t>
            </w:r>
            <w:r>
              <w:t>:</w:t>
            </w:r>
          </w:p>
          <w:p w14:paraId="65B623B4" w14:textId="1DDB6039" w:rsidR="00FA227B" w:rsidRDefault="00945CBD" w:rsidP="0013504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there is an immediate danger to the physical health or safety of the child or the child has been a victim o</w:t>
            </w:r>
            <w:r w:rsidR="009E365B">
              <w:t>f</w:t>
            </w:r>
            <w:r>
              <w:t xml:space="preserve"> </w:t>
            </w:r>
            <w:r w:rsidR="00EA193F">
              <w:t xml:space="preserve">neglect or </w:t>
            </w:r>
            <w:r>
              <w:t>sexual abuse;</w:t>
            </w:r>
          </w:p>
          <w:p w14:paraId="58048E10" w14:textId="675C3A00" w:rsidR="00FA227B" w:rsidRDefault="00945CBD" w:rsidP="0013504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continuation in the home would be contrary to the child's welfare; and</w:t>
            </w:r>
          </w:p>
          <w:p w14:paraId="2617DABA" w14:textId="582A0FBB" w:rsidR="00FA227B" w:rsidRDefault="00945CBD" w:rsidP="0013504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reasonable</w:t>
            </w:r>
            <w:r>
              <w:t xml:space="preserve"> efforts, consistent with the circumstances and providing for the safety of the child, were made to prevent or eliminate the need to move the child.</w:t>
            </w:r>
          </w:p>
          <w:p w14:paraId="60AA4AD4" w14:textId="00059550" w:rsidR="0006712C" w:rsidRDefault="0006712C" w:rsidP="001350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D78411B" w14:textId="4A23A0A8" w:rsidR="00C32ABE" w:rsidRDefault="00945CBD" w:rsidP="001350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D19A0">
              <w:t xml:space="preserve">C.S.S.B. 2548 </w:t>
            </w:r>
            <w:r w:rsidR="00B06738">
              <w:t xml:space="preserve">revises the requirement for a </w:t>
            </w:r>
            <w:r w:rsidR="007E6A7D">
              <w:t>court</w:t>
            </w:r>
            <w:r w:rsidR="0063718C">
              <w:t>,</w:t>
            </w:r>
            <w:r w:rsidR="007E6A7D">
              <w:t xml:space="preserve"> if</w:t>
            </w:r>
            <w:r w:rsidR="00B06738">
              <w:t xml:space="preserve"> before dismissal of a suit affecting the parent</w:t>
            </w:r>
            <w:r w:rsidR="009774FF">
              <w:t>-</w:t>
            </w:r>
            <w:r w:rsidR="00B06738">
              <w:t xml:space="preserve">child relationship or the commencement of the trial on the merits a child placed under a monitored return with a parent must be moved </w:t>
            </w:r>
            <w:r>
              <w:t>from that home or the court renders a temporary order terminating the order for the transition of the child back to the parent</w:t>
            </w:r>
            <w:r w:rsidR="009774FF">
              <w:t>,</w:t>
            </w:r>
            <w:r>
              <w:t xml:space="preserve"> to schedule a new date for dismissal of the suit at the time of the move or order as follows:</w:t>
            </w:r>
          </w:p>
          <w:p w14:paraId="11B9F04E" w14:textId="321DB6BD" w:rsidR="00C32ABE" w:rsidRDefault="00945CBD" w:rsidP="0013504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clarifies that the requirement applies when a child is placed with a parent and the court renders such a temporary order terminating the transition order </w:t>
            </w:r>
            <w:r w:rsidR="00AC3940">
              <w:t xml:space="preserve">or a temporary order terminating the monitored return of the child to the parent </w:t>
            </w:r>
            <w:r>
              <w:t xml:space="preserve">and </w:t>
            </w:r>
            <w:r w:rsidR="00AC3940">
              <w:t xml:space="preserve">that </w:t>
            </w:r>
            <w:r>
              <w:t>the scheduling of the new dismissal date</w:t>
            </w:r>
            <w:r w:rsidR="00AC3940">
              <w:t xml:space="preserve"> for the suit</w:t>
            </w:r>
            <w:r>
              <w:t xml:space="preserve"> is</w:t>
            </w:r>
            <w:r w:rsidR="00AC3940">
              <w:t xml:space="preserve"> to be made</w:t>
            </w:r>
            <w:r>
              <w:t xml:space="preserve"> at the time the order is rendered;</w:t>
            </w:r>
            <w:r w:rsidR="00AC3940">
              <w:t xml:space="preserve"> and</w:t>
            </w:r>
          </w:p>
          <w:p w14:paraId="437B5608" w14:textId="0D39ABA4" w:rsidR="005145C7" w:rsidRDefault="00945CBD" w:rsidP="0013504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changes the </w:t>
            </w:r>
            <w:r w:rsidR="00AC3940">
              <w:t xml:space="preserve">parameters for the </w:t>
            </w:r>
            <w:r>
              <w:t xml:space="preserve">new dismissal date from not later </w:t>
            </w:r>
            <w:r>
              <w:t>than the original</w:t>
            </w:r>
            <w:r w:rsidR="006803BA">
              <w:t xml:space="preserve"> </w:t>
            </w:r>
            <w:r>
              <w:t xml:space="preserve">dismissal date or the 180th day after the date the child is moved or the order is rendered, whichever date is later, to not later than the original </w:t>
            </w:r>
            <w:r w:rsidR="006803BA">
              <w:t xml:space="preserve">or extended </w:t>
            </w:r>
            <w:r>
              <w:t xml:space="preserve">dismissal date </w:t>
            </w:r>
            <w:r w:rsidR="00EA193F">
              <w:t xml:space="preserve">or </w:t>
            </w:r>
            <w:r>
              <w:t xml:space="preserve">the </w:t>
            </w:r>
            <w:r w:rsidR="00EA193F">
              <w:t>60</w:t>
            </w:r>
            <w:r>
              <w:t>th day after the date the order is rendered</w:t>
            </w:r>
            <w:r w:rsidR="006803BA">
              <w:t>, whichever date is later</w:t>
            </w:r>
            <w:r w:rsidR="00AC3940">
              <w:t xml:space="preserve">. </w:t>
            </w:r>
          </w:p>
          <w:p w14:paraId="713DDFEC" w14:textId="286E0E88" w:rsidR="0006712C" w:rsidRPr="009C36CD" w:rsidRDefault="00945CBD" w:rsidP="001350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applies </w:t>
            </w:r>
            <w:r w:rsidRPr="00B732F7">
              <w:t>only to a suit affecting the parent-child relationship filed on or after the</w:t>
            </w:r>
            <w:r>
              <w:t xml:space="preserve"> bill</w:t>
            </w:r>
            <w:r w:rsidR="009774FF">
              <w:t>'</w:t>
            </w:r>
            <w:r>
              <w:t xml:space="preserve">s effective date. </w:t>
            </w:r>
            <w:r w:rsidR="006C49D7" w:rsidRPr="006C49D7">
              <w:t>A suit affecting the parent-child relationship filed before the</w:t>
            </w:r>
            <w:r w:rsidR="006C49D7">
              <w:t xml:space="preserve"> bill's</w:t>
            </w:r>
            <w:r w:rsidR="006C49D7" w:rsidRPr="006C49D7">
              <w:t xml:space="preserve"> effective date is governed by the law in effect on the date the suit was filed, and the former law is continued in effect for that purpose.</w:t>
            </w:r>
          </w:p>
          <w:p w14:paraId="15C3E12A" w14:textId="77777777" w:rsidR="008423E4" w:rsidRPr="00835628" w:rsidRDefault="008423E4" w:rsidP="00135048">
            <w:pPr>
              <w:rPr>
                <w:b/>
              </w:rPr>
            </w:pPr>
          </w:p>
        </w:tc>
      </w:tr>
      <w:tr w:rsidR="00C7405F" w14:paraId="1D0E37AA" w14:textId="77777777" w:rsidTr="0055206E">
        <w:tc>
          <w:tcPr>
            <w:tcW w:w="9334" w:type="dxa"/>
          </w:tcPr>
          <w:p w14:paraId="55641BB4" w14:textId="77777777" w:rsidR="008423E4" w:rsidRPr="00A8133F" w:rsidRDefault="00945CBD" w:rsidP="0013504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C87A45D" w14:textId="77777777" w:rsidR="008423E4" w:rsidRDefault="008423E4" w:rsidP="00135048"/>
          <w:p w14:paraId="7AB96F61" w14:textId="333025E5" w:rsidR="008423E4" w:rsidRPr="003624F2" w:rsidRDefault="00945CBD" w:rsidP="001350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6F2D626" w14:textId="77777777" w:rsidR="008423E4" w:rsidRPr="00233FDB" w:rsidRDefault="008423E4" w:rsidP="00135048">
            <w:pPr>
              <w:rPr>
                <w:b/>
              </w:rPr>
            </w:pPr>
          </w:p>
        </w:tc>
      </w:tr>
      <w:tr w:rsidR="00C7405F" w14:paraId="114EF4F1" w14:textId="77777777" w:rsidTr="0055206E">
        <w:tc>
          <w:tcPr>
            <w:tcW w:w="9334" w:type="dxa"/>
          </w:tcPr>
          <w:p w14:paraId="1F3151E2" w14:textId="77777777" w:rsidR="000414B5" w:rsidRDefault="00945CBD" w:rsidP="0013504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20BA7A40" w14:textId="77777777" w:rsidR="002D19A0" w:rsidRDefault="002D19A0" w:rsidP="00135048">
            <w:pPr>
              <w:jc w:val="both"/>
            </w:pPr>
          </w:p>
          <w:p w14:paraId="257FDFD5" w14:textId="391A00E7" w:rsidR="002D19A0" w:rsidRDefault="00945CBD" w:rsidP="00135048">
            <w:pPr>
              <w:jc w:val="both"/>
            </w:pPr>
            <w:r>
              <w:t xml:space="preserve">While C.S.S.B. 2548 may differ from the engrossed in minor or </w:t>
            </w:r>
            <w:r>
              <w:t>nonsubstantive ways, the following summarizes the substantial differences between the engrossed and committee substitute versions of the bill.</w:t>
            </w:r>
          </w:p>
          <w:p w14:paraId="35A17DD4" w14:textId="77777777" w:rsidR="00310DAE" w:rsidRDefault="00310DAE" w:rsidP="00135048">
            <w:pPr>
              <w:jc w:val="both"/>
            </w:pPr>
          </w:p>
          <w:p w14:paraId="264D5C8A" w14:textId="674D3DC9" w:rsidR="002D19A0" w:rsidRDefault="00945CBD" w:rsidP="00135048">
            <w:pPr>
              <w:jc w:val="both"/>
            </w:pPr>
            <w:r>
              <w:t xml:space="preserve">Whereas the </w:t>
            </w:r>
            <w:r w:rsidR="00DC455F">
              <w:t xml:space="preserve">engrossed established that </w:t>
            </w:r>
            <w:r>
              <w:t xml:space="preserve">the new dismissal date </w:t>
            </w:r>
            <w:r w:rsidR="0086720B">
              <w:t>may</w:t>
            </w:r>
            <w:r w:rsidR="00DC455F">
              <w:t xml:space="preserve"> not be later than </w:t>
            </w:r>
            <w:r w:rsidR="00DC455F" w:rsidRPr="00DC455F">
              <w:t>the original or extended dismissal date or the 30t</w:t>
            </w:r>
            <w:r w:rsidR="00DC455F">
              <w:t>h day after the date</w:t>
            </w:r>
            <w:r w:rsidR="00DC455F" w:rsidRPr="00DC455F">
              <w:t xml:space="preserve"> the order is rendered</w:t>
            </w:r>
            <w:r w:rsidR="00310DAE">
              <w:t xml:space="preserve">, </w:t>
            </w:r>
            <w:r w:rsidR="00DC455F" w:rsidRPr="00DC455F">
              <w:t>whichever date is later</w:t>
            </w:r>
            <w:r w:rsidR="00310DAE">
              <w:t xml:space="preserve">, </w:t>
            </w:r>
            <w:r>
              <w:t xml:space="preserve">the substitute </w:t>
            </w:r>
            <w:r w:rsidR="00310DAE">
              <w:t xml:space="preserve">establishes that </w:t>
            </w:r>
            <w:r>
              <w:t xml:space="preserve">the new dismissal date </w:t>
            </w:r>
            <w:r w:rsidR="00310DAE">
              <w:t>may n</w:t>
            </w:r>
            <w:r w:rsidR="00310DAE" w:rsidRPr="00310DAE">
              <w:t>ot be later than the original or extended</w:t>
            </w:r>
            <w:r w:rsidR="00310DAE">
              <w:t xml:space="preserve"> </w:t>
            </w:r>
            <w:r w:rsidR="00310DAE" w:rsidRPr="00310DAE">
              <w:t xml:space="preserve">dismissal date or </w:t>
            </w:r>
            <w:r>
              <w:t xml:space="preserve">the 60th day after </w:t>
            </w:r>
            <w:r w:rsidR="00310DAE">
              <w:t xml:space="preserve">date </w:t>
            </w:r>
            <w:r w:rsidR="00310DAE" w:rsidRPr="00310DAE">
              <w:t>the order is rendered, whichever date is later</w:t>
            </w:r>
            <w:r w:rsidR="00310DAE">
              <w:t>.</w:t>
            </w:r>
          </w:p>
          <w:p w14:paraId="00E3DABA" w14:textId="77777777" w:rsidR="002D19A0" w:rsidRDefault="002D19A0" w:rsidP="00135048">
            <w:pPr>
              <w:jc w:val="both"/>
            </w:pPr>
          </w:p>
          <w:p w14:paraId="630E6566" w14:textId="579EC6FE" w:rsidR="002D19A0" w:rsidRDefault="00945CBD" w:rsidP="00135048">
            <w:pPr>
              <w:jc w:val="both"/>
            </w:pPr>
            <w:r>
              <w:t xml:space="preserve">While both the engrossed and the substitute prohibit </w:t>
            </w:r>
            <w:r w:rsidR="00310DAE">
              <w:t xml:space="preserve">DFPS </w:t>
            </w:r>
            <w:r>
              <w:t xml:space="preserve">from moving a </w:t>
            </w:r>
            <w:r w:rsidR="00902507" w:rsidRPr="00902507">
              <w:t xml:space="preserve">child who has been placed in the home of a parent under a monitored return </w:t>
            </w:r>
            <w:r w:rsidR="00902507">
              <w:t xml:space="preserve">from that </w:t>
            </w:r>
            <w:r>
              <w:t>home without a hearing</w:t>
            </w:r>
            <w:r w:rsidR="00902507">
              <w:t xml:space="preserve">, the </w:t>
            </w:r>
            <w:r>
              <w:t xml:space="preserve">substitute </w:t>
            </w:r>
            <w:r w:rsidR="00057D69">
              <w:t>includes language absent from the engrossed that also requires</w:t>
            </w:r>
            <w:r w:rsidR="00D231D0">
              <w:t xml:space="preserve"> a court order and proper notice</w:t>
            </w:r>
            <w:r>
              <w:t xml:space="preserve"> for DFPS to make such a move</w:t>
            </w:r>
            <w:r w:rsidR="00D231D0">
              <w:t xml:space="preserve">. </w:t>
            </w:r>
            <w:r w:rsidR="005304BA">
              <w:t>A</w:t>
            </w:r>
            <w:r w:rsidR="00F73FA9">
              <w:t>dditionally</w:t>
            </w:r>
            <w:r w:rsidR="005304BA">
              <w:t xml:space="preserve">, </w:t>
            </w:r>
            <w:r w:rsidR="00C072F8">
              <w:t xml:space="preserve">while both </w:t>
            </w:r>
            <w:r w:rsidR="005304BA">
              <w:t>the</w:t>
            </w:r>
            <w:r w:rsidR="00C072F8">
              <w:t xml:space="preserve"> engrossed and the</w:t>
            </w:r>
            <w:r w:rsidR="005304BA">
              <w:t xml:space="preserve"> substitut</w:t>
            </w:r>
            <w:r w:rsidR="00C072F8">
              <w:t>e</w:t>
            </w:r>
            <w:r w:rsidR="00F73FA9">
              <w:t xml:space="preserve"> </w:t>
            </w:r>
            <w:r w:rsidR="005304BA">
              <w:t>authoriz</w:t>
            </w:r>
            <w:r w:rsidR="00C072F8">
              <w:t>e a</w:t>
            </w:r>
            <w:r w:rsidR="005304BA">
              <w:t xml:space="preserve"> court to order a child to be moved from the home or render any other applicable order </w:t>
            </w:r>
            <w:r w:rsidR="00C072F8">
              <w:t xml:space="preserve">on making certain findings </w:t>
            </w:r>
            <w:r w:rsidR="005304BA">
              <w:t xml:space="preserve">after </w:t>
            </w:r>
            <w:r w:rsidR="00C072F8">
              <w:t xml:space="preserve">a hearing, the substitute also requires proper notice before the court may </w:t>
            </w:r>
            <w:r w:rsidR="00DA44E2">
              <w:t>do so</w:t>
            </w:r>
            <w:r w:rsidR="00C072F8">
              <w:t>, whereas the engrossed did no</w:t>
            </w:r>
            <w:r w:rsidR="00DA44E2">
              <w:t>t require proper notice</w:t>
            </w:r>
            <w:r w:rsidR="005304BA">
              <w:t>.</w:t>
            </w:r>
          </w:p>
          <w:p w14:paraId="40DD9FF9" w14:textId="35BAA71A" w:rsidR="002D19A0" w:rsidRPr="002D19A0" w:rsidRDefault="002D19A0" w:rsidP="00135048">
            <w:pPr>
              <w:jc w:val="both"/>
            </w:pPr>
          </w:p>
        </w:tc>
      </w:tr>
      <w:tr w:rsidR="00C7405F" w14:paraId="4C2732C4" w14:textId="77777777" w:rsidTr="0055206E">
        <w:tc>
          <w:tcPr>
            <w:tcW w:w="9334" w:type="dxa"/>
          </w:tcPr>
          <w:p w14:paraId="29C02A65" w14:textId="77777777" w:rsidR="00575937" w:rsidRPr="009C1E9A" w:rsidRDefault="00575937" w:rsidP="00135048">
            <w:pPr>
              <w:rPr>
                <w:b/>
                <w:u w:val="single"/>
              </w:rPr>
            </w:pPr>
          </w:p>
        </w:tc>
      </w:tr>
      <w:tr w:rsidR="00C7405F" w14:paraId="6016846C" w14:textId="77777777" w:rsidTr="0055206E">
        <w:tc>
          <w:tcPr>
            <w:tcW w:w="9334" w:type="dxa"/>
          </w:tcPr>
          <w:p w14:paraId="48181CD2" w14:textId="77777777" w:rsidR="00575937" w:rsidRPr="000414B5" w:rsidRDefault="00575937" w:rsidP="00135048">
            <w:pPr>
              <w:jc w:val="both"/>
            </w:pPr>
          </w:p>
        </w:tc>
      </w:tr>
      <w:tr w:rsidR="00C7405F" w14:paraId="41509A41" w14:textId="77777777" w:rsidTr="0055206E">
        <w:tc>
          <w:tcPr>
            <w:tcW w:w="9334" w:type="dxa"/>
          </w:tcPr>
          <w:p w14:paraId="4153A793" w14:textId="77777777" w:rsidR="000414B5" w:rsidRPr="00575937" w:rsidRDefault="000414B5" w:rsidP="00135048">
            <w:pPr>
              <w:jc w:val="both"/>
            </w:pPr>
          </w:p>
        </w:tc>
      </w:tr>
      <w:tr w:rsidR="00C7405F" w14:paraId="7228FEBA" w14:textId="77777777" w:rsidTr="0055206E">
        <w:tc>
          <w:tcPr>
            <w:tcW w:w="9334" w:type="dxa"/>
          </w:tcPr>
          <w:p w14:paraId="7B4DC91B" w14:textId="77777777" w:rsidR="000414B5" w:rsidRPr="00575937" w:rsidRDefault="000414B5" w:rsidP="00135048">
            <w:pPr>
              <w:jc w:val="both"/>
            </w:pPr>
          </w:p>
        </w:tc>
      </w:tr>
      <w:tr w:rsidR="00C7405F" w14:paraId="63D8DB5B" w14:textId="77777777" w:rsidTr="0055206E">
        <w:tc>
          <w:tcPr>
            <w:tcW w:w="9334" w:type="dxa"/>
          </w:tcPr>
          <w:p w14:paraId="194AC0F3" w14:textId="77777777" w:rsidR="000414B5" w:rsidRPr="00575937" w:rsidRDefault="000414B5" w:rsidP="00135048">
            <w:pPr>
              <w:jc w:val="both"/>
            </w:pPr>
          </w:p>
        </w:tc>
      </w:tr>
    </w:tbl>
    <w:p w14:paraId="7B82EAAA" w14:textId="77777777" w:rsidR="004108C3" w:rsidRPr="008423E4" w:rsidRDefault="004108C3" w:rsidP="0013504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CADD" w14:textId="77777777" w:rsidR="00000000" w:rsidRDefault="00945CBD">
      <w:r>
        <w:separator/>
      </w:r>
    </w:p>
  </w:endnote>
  <w:endnote w:type="continuationSeparator" w:id="0">
    <w:p w14:paraId="72396FB3" w14:textId="77777777" w:rsidR="00000000" w:rsidRDefault="0094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A7F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7405F" w14:paraId="23458E76" w14:textId="77777777" w:rsidTr="009C1E9A">
      <w:trPr>
        <w:cantSplit/>
      </w:trPr>
      <w:tc>
        <w:tcPr>
          <w:tcW w:w="0" w:type="pct"/>
        </w:tcPr>
        <w:p w14:paraId="5B0822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214139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740F36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1C79F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24A30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7405F" w14:paraId="68C33EB8" w14:textId="77777777" w:rsidTr="009C1E9A">
      <w:trPr>
        <w:cantSplit/>
      </w:trPr>
      <w:tc>
        <w:tcPr>
          <w:tcW w:w="0" w:type="pct"/>
        </w:tcPr>
        <w:p w14:paraId="3E76FBC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A653B0" w14:textId="3E0A5B4D" w:rsidR="00EC379B" w:rsidRPr="009C1E9A" w:rsidRDefault="00945CB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30838-D</w:t>
          </w:r>
        </w:p>
      </w:tc>
      <w:tc>
        <w:tcPr>
          <w:tcW w:w="2453" w:type="pct"/>
        </w:tcPr>
        <w:p w14:paraId="08E588F1" w14:textId="4D039FAE" w:rsidR="00EC379B" w:rsidRDefault="00945CB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35048">
            <w:t>23.138.456</w:t>
          </w:r>
          <w:r>
            <w:fldChar w:fldCharType="end"/>
          </w:r>
        </w:p>
      </w:tc>
    </w:tr>
    <w:tr w:rsidR="00C7405F" w14:paraId="4016C160" w14:textId="77777777" w:rsidTr="009C1E9A">
      <w:trPr>
        <w:cantSplit/>
      </w:trPr>
      <w:tc>
        <w:tcPr>
          <w:tcW w:w="0" w:type="pct"/>
        </w:tcPr>
        <w:p w14:paraId="254A096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456EE10" w14:textId="78D0D6A3" w:rsidR="00EC379B" w:rsidRPr="009C1E9A" w:rsidRDefault="00945CB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29780</w:t>
          </w:r>
        </w:p>
      </w:tc>
      <w:tc>
        <w:tcPr>
          <w:tcW w:w="2453" w:type="pct"/>
        </w:tcPr>
        <w:p w14:paraId="35F7A02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7C79E7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7405F" w14:paraId="4D7F963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40555D1" w14:textId="77777777" w:rsidR="00EC379B" w:rsidRDefault="00945CB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BBA19E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2B3A9A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E26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9215" w14:textId="77777777" w:rsidR="00000000" w:rsidRDefault="00945CBD">
      <w:r>
        <w:separator/>
      </w:r>
    </w:p>
  </w:footnote>
  <w:footnote w:type="continuationSeparator" w:id="0">
    <w:p w14:paraId="2A46C81C" w14:textId="77777777" w:rsidR="00000000" w:rsidRDefault="00945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56A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AAE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D04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E622E"/>
    <w:multiLevelType w:val="hybridMultilevel"/>
    <w:tmpl w:val="88826E92"/>
    <w:lvl w:ilvl="0" w:tplc="418AA61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0001F5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EB88DD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78A9A4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F60233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8CEAC0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D9455F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FF4415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D500A2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FA54CAC"/>
    <w:multiLevelType w:val="hybridMultilevel"/>
    <w:tmpl w:val="73AAD14C"/>
    <w:lvl w:ilvl="0" w:tplc="3BE2A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DC2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68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EE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6E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70B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46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0E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CE8C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E01B4"/>
    <w:multiLevelType w:val="hybridMultilevel"/>
    <w:tmpl w:val="3EEC7250"/>
    <w:lvl w:ilvl="0" w:tplc="A4E44D5A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290C550" w:tentative="1">
      <w:start w:val="1"/>
      <w:numFmt w:val="lowerLetter"/>
      <w:lvlText w:val="%2."/>
      <w:lvlJc w:val="left"/>
      <w:pPr>
        <w:ind w:left="1440" w:hanging="360"/>
      </w:pPr>
    </w:lvl>
    <w:lvl w:ilvl="2" w:tplc="0734D998" w:tentative="1">
      <w:start w:val="1"/>
      <w:numFmt w:val="lowerRoman"/>
      <w:lvlText w:val="%3."/>
      <w:lvlJc w:val="right"/>
      <w:pPr>
        <w:ind w:left="2160" w:hanging="180"/>
      </w:pPr>
    </w:lvl>
    <w:lvl w:ilvl="3" w:tplc="47029E7C" w:tentative="1">
      <w:start w:val="1"/>
      <w:numFmt w:val="decimal"/>
      <w:lvlText w:val="%4."/>
      <w:lvlJc w:val="left"/>
      <w:pPr>
        <w:ind w:left="2880" w:hanging="360"/>
      </w:pPr>
    </w:lvl>
    <w:lvl w:ilvl="4" w:tplc="71067604" w:tentative="1">
      <w:start w:val="1"/>
      <w:numFmt w:val="lowerLetter"/>
      <w:lvlText w:val="%5."/>
      <w:lvlJc w:val="left"/>
      <w:pPr>
        <w:ind w:left="3600" w:hanging="360"/>
      </w:pPr>
    </w:lvl>
    <w:lvl w:ilvl="5" w:tplc="E8EC3FAA" w:tentative="1">
      <w:start w:val="1"/>
      <w:numFmt w:val="lowerRoman"/>
      <w:lvlText w:val="%6."/>
      <w:lvlJc w:val="right"/>
      <w:pPr>
        <w:ind w:left="4320" w:hanging="180"/>
      </w:pPr>
    </w:lvl>
    <w:lvl w:ilvl="6" w:tplc="D82E1BCA" w:tentative="1">
      <w:start w:val="1"/>
      <w:numFmt w:val="decimal"/>
      <w:lvlText w:val="%7."/>
      <w:lvlJc w:val="left"/>
      <w:pPr>
        <w:ind w:left="5040" w:hanging="360"/>
      </w:pPr>
    </w:lvl>
    <w:lvl w:ilvl="7" w:tplc="85F0CCEC" w:tentative="1">
      <w:start w:val="1"/>
      <w:numFmt w:val="lowerLetter"/>
      <w:lvlText w:val="%8."/>
      <w:lvlJc w:val="left"/>
      <w:pPr>
        <w:ind w:left="5760" w:hanging="360"/>
      </w:pPr>
    </w:lvl>
    <w:lvl w:ilvl="8" w:tplc="24682A8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81890">
    <w:abstractNumId w:val="1"/>
  </w:num>
  <w:num w:numId="2" w16cid:durableId="179784896">
    <w:abstractNumId w:val="2"/>
  </w:num>
  <w:num w:numId="3" w16cid:durableId="8699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7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4B5"/>
    <w:rsid w:val="00043B84"/>
    <w:rsid w:val="0004512B"/>
    <w:rsid w:val="000463F0"/>
    <w:rsid w:val="00046BDA"/>
    <w:rsid w:val="0004762E"/>
    <w:rsid w:val="000532BD"/>
    <w:rsid w:val="000555E0"/>
    <w:rsid w:val="00055C12"/>
    <w:rsid w:val="00057D69"/>
    <w:rsid w:val="000608B0"/>
    <w:rsid w:val="000608DC"/>
    <w:rsid w:val="0006104C"/>
    <w:rsid w:val="00064BF2"/>
    <w:rsid w:val="000667BA"/>
    <w:rsid w:val="0006712C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0C2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6BC4"/>
    <w:rsid w:val="00127893"/>
    <w:rsid w:val="001312BB"/>
    <w:rsid w:val="00135048"/>
    <w:rsid w:val="00135221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13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6456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E41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2DE1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E52"/>
    <w:rsid w:val="002734D6"/>
    <w:rsid w:val="00274C45"/>
    <w:rsid w:val="00275109"/>
    <w:rsid w:val="00275BEE"/>
    <w:rsid w:val="0027617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9A0"/>
    <w:rsid w:val="002D208E"/>
    <w:rsid w:val="002D305A"/>
    <w:rsid w:val="002E1443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0DAE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5E5C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A3E"/>
    <w:rsid w:val="00422039"/>
    <w:rsid w:val="00423FBC"/>
    <w:rsid w:val="004241AA"/>
    <w:rsid w:val="0042422E"/>
    <w:rsid w:val="00427941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B20"/>
    <w:rsid w:val="004C7888"/>
    <w:rsid w:val="004D1AC9"/>
    <w:rsid w:val="004D27DE"/>
    <w:rsid w:val="004D3F41"/>
    <w:rsid w:val="004D46B3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1E0D"/>
    <w:rsid w:val="0051324D"/>
    <w:rsid w:val="005145C7"/>
    <w:rsid w:val="00515466"/>
    <w:rsid w:val="005154F7"/>
    <w:rsid w:val="005159DE"/>
    <w:rsid w:val="005269CE"/>
    <w:rsid w:val="005304B2"/>
    <w:rsid w:val="005304BA"/>
    <w:rsid w:val="005336BD"/>
    <w:rsid w:val="00534A49"/>
    <w:rsid w:val="005363BB"/>
    <w:rsid w:val="00541B98"/>
    <w:rsid w:val="00543374"/>
    <w:rsid w:val="00545548"/>
    <w:rsid w:val="00546923"/>
    <w:rsid w:val="00551CA6"/>
    <w:rsid w:val="0055206E"/>
    <w:rsid w:val="00555034"/>
    <w:rsid w:val="005570D2"/>
    <w:rsid w:val="00561528"/>
    <w:rsid w:val="0056153F"/>
    <w:rsid w:val="00561B14"/>
    <w:rsid w:val="00562C87"/>
    <w:rsid w:val="005636BD"/>
    <w:rsid w:val="00565217"/>
    <w:rsid w:val="005666D5"/>
    <w:rsid w:val="005669A7"/>
    <w:rsid w:val="00573401"/>
    <w:rsid w:val="00575937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95D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98D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836"/>
    <w:rsid w:val="00607E64"/>
    <w:rsid w:val="006106E9"/>
    <w:rsid w:val="0061159E"/>
    <w:rsid w:val="00614633"/>
    <w:rsid w:val="00614BC8"/>
    <w:rsid w:val="006151FB"/>
    <w:rsid w:val="00617411"/>
    <w:rsid w:val="00624646"/>
    <w:rsid w:val="006249CB"/>
    <w:rsid w:val="006272DD"/>
    <w:rsid w:val="00630963"/>
    <w:rsid w:val="0063185D"/>
    <w:rsid w:val="00631897"/>
    <w:rsid w:val="00632928"/>
    <w:rsid w:val="006330DA"/>
    <w:rsid w:val="00633262"/>
    <w:rsid w:val="00633460"/>
    <w:rsid w:val="00635916"/>
    <w:rsid w:val="0063718C"/>
    <w:rsid w:val="006402E7"/>
    <w:rsid w:val="00640CB6"/>
    <w:rsid w:val="00641B42"/>
    <w:rsid w:val="00644FF3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03B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111"/>
    <w:rsid w:val="006C4709"/>
    <w:rsid w:val="006C49D7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1DCF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A7D"/>
    <w:rsid w:val="007F2F06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185B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20B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63E9"/>
    <w:rsid w:val="008F09DF"/>
    <w:rsid w:val="008F3053"/>
    <w:rsid w:val="008F3136"/>
    <w:rsid w:val="008F40DF"/>
    <w:rsid w:val="008F5E16"/>
    <w:rsid w:val="008F5EFC"/>
    <w:rsid w:val="00901670"/>
    <w:rsid w:val="00902212"/>
    <w:rsid w:val="00902507"/>
    <w:rsid w:val="00903E0A"/>
    <w:rsid w:val="00904721"/>
    <w:rsid w:val="00907433"/>
    <w:rsid w:val="00907780"/>
    <w:rsid w:val="00907A62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5CBD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4FF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1D7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65B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A46"/>
    <w:rsid w:val="00A51F3E"/>
    <w:rsid w:val="00A5364B"/>
    <w:rsid w:val="00A54142"/>
    <w:rsid w:val="00A54C42"/>
    <w:rsid w:val="00A572B1"/>
    <w:rsid w:val="00A577AF"/>
    <w:rsid w:val="00A60177"/>
    <w:rsid w:val="00A610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0D94"/>
    <w:rsid w:val="00AB1655"/>
    <w:rsid w:val="00AB1873"/>
    <w:rsid w:val="00AB2C05"/>
    <w:rsid w:val="00AB3536"/>
    <w:rsid w:val="00AB474B"/>
    <w:rsid w:val="00AB5CCC"/>
    <w:rsid w:val="00AB74E2"/>
    <w:rsid w:val="00AC2E9A"/>
    <w:rsid w:val="00AC3940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B36"/>
    <w:rsid w:val="00AF1433"/>
    <w:rsid w:val="00AF48B4"/>
    <w:rsid w:val="00AF4923"/>
    <w:rsid w:val="00AF7C74"/>
    <w:rsid w:val="00B000AF"/>
    <w:rsid w:val="00B04E79"/>
    <w:rsid w:val="00B06738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2F7"/>
    <w:rsid w:val="00B73BB4"/>
    <w:rsid w:val="00B80532"/>
    <w:rsid w:val="00B82039"/>
    <w:rsid w:val="00B82454"/>
    <w:rsid w:val="00B83CD6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2F8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2ABE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05F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0D7"/>
    <w:rsid w:val="00CD731C"/>
    <w:rsid w:val="00CE08E8"/>
    <w:rsid w:val="00CE2133"/>
    <w:rsid w:val="00CE245D"/>
    <w:rsid w:val="00CE300F"/>
    <w:rsid w:val="00CE3582"/>
    <w:rsid w:val="00CE3795"/>
    <w:rsid w:val="00CE3E20"/>
    <w:rsid w:val="00CE44BD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2AC"/>
    <w:rsid w:val="00D11B0B"/>
    <w:rsid w:val="00D12A3E"/>
    <w:rsid w:val="00D16365"/>
    <w:rsid w:val="00D22160"/>
    <w:rsid w:val="00D22172"/>
    <w:rsid w:val="00D2301B"/>
    <w:rsid w:val="00D231D0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2E2D"/>
    <w:rsid w:val="00D53B7C"/>
    <w:rsid w:val="00D55F52"/>
    <w:rsid w:val="00D56508"/>
    <w:rsid w:val="00D6131A"/>
    <w:rsid w:val="00D61611"/>
    <w:rsid w:val="00D61784"/>
    <w:rsid w:val="00D6178A"/>
    <w:rsid w:val="00D63906"/>
    <w:rsid w:val="00D63B53"/>
    <w:rsid w:val="00D64B88"/>
    <w:rsid w:val="00D64DC5"/>
    <w:rsid w:val="00D65F11"/>
    <w:rsid w:val="00D66BA6"/>
    <w:rsid w:val="00D700B1"/>
    <w:rsid w:val="00D730FA"/>
    <w:rsid w:val="00D75D8D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44E2"/>
    <w:rsid w:val="00DA564B"/>
    <w:rsid w:val="00DA6A5C"/>
    <w:rsid w:val="00DB311F"/>
    <w:rsid w:val="00DB53C6"/>
    <w:rsid w:val="00DB59E3"/>
    <w:rsid w:val="00DB6CB6"/>
    <w:rsid w:val="00DB758F"/>
    <w:rsid w:val="00DC1C26"/>
    <w:rsid w:val="00DC1F1B"/>
    <w:rsid w:val="00DC3D8F"/>
    <w:rsid w:val="00DC42E8"/>
    <w:rsid w:val="00DC455F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FAC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6FAF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3A4C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7837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193F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0586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3FA9"/>
    <w:rsid w:val="00F7758F"/>
    <w:rsid w:val="00F82811"/>
    <w:rsid w:val="00F84153"/>
    <w:rsid w:val="00F85661"/>
    <w:rsid w:val="00F96602"/>
    <w:rsid w:val="00F9735A"/>
    <w:rsid w:val="00FA227B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6DC24E-D276-40BC-BC25-3DCAFDDA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732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3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32F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3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32F7"/>
    <w:rPr>
      <w:b/>
      <w:bCs/>
    </w:rPr>
  </w:style>
  <w:style w:type="paragraph" w:styleId="Revision">
    <w:name w:val="Revision"/>
    <w:hidden/>
    <w:uiPriority w:val="99"/>
    <w:semiHidden/>
    <w:rsid w:val="00D63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989</Words>
  <Characters>4789</Characters>
  <Application>Microsoft Office Word</Application>
  <DocSecurity>4</DocSecurity>
  <Lines>104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SB02548 (Committee Report (Substituted))</vt:lpstr>
    </vt:vector>
  </TitlesOfParts>
  <Company>State of Texas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30838</dc:subject>
  <dc:creator>State of Texas</dc:creator>
  <dc:description>SB 2548 by Middleton-(H)Juvenile Justice &amp; Family Issues (Substitute Document Number: 88R 29780)</dc:description>
  <cp:lastModifiedBy>Damian Duarte</cp:lastModifiedBy>
  <cp:revision>2</cp:revision>
  <cp:lastPrinted>2003-11-26T17:21:00Z</cp:lastPrinted>
  <dcterms:created xsi:type="dcterms:W3CDTF">2023-05-19T22:52:00Z</dcterms:created>
  <dcterms:modified xsi:type="dcterms:W3CDTF">2023-05-19T22:52:00Z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23.138.456</vt:lpwstr>
  </property>
</Properties>
</file>