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3C92" w14:paraId="1CD6C2F1" w14:textId="77777777" w:rsidTr="00345119">
        <w:tc>
          <w:tcPr>
            <w:tcW w:w="9576" w:type="dxa"/>
            <w:noWrap/>
          </w:tcPr>
          <w:p w14:paraId="4FCA3EC4" w14:textId="77777777" w:rsidR="008423E4" w:rsidRPr="0022177D" w:rsidRDefault="005D41B4" w:rsidP="00F41823">
            <w:pPr>
              <w:pStyle w:val="Heading1"/>
            </w:pPr>
            <w:r>
              <w:t>RESOLUTION ANALYSIS</w:t>
            </w:r>
          </w:p>
        </w:tc>
      </w:tr>
    </w:tbl>
    <w:p w14:paraId="760153F1" w14:textId="77777777" w:rsidR="008423E4" w:rsidRPr="0022177D" w:rsidRDefault="008423E4" w:rsidP="00F41823">
      <w:pPr>
        <w:jc w:val="center"/>
      </w:pPr>
    </w:p>
    <w:p w14:paraId="2BFE2DD4" w14:textId="77777777" w:rsidR="008423E4" w:rsidRPr="00B31F0E" w:rsidRDefault="008423E4" w:rsidP="00F41823"/>
    <w:p w14:paraId="5130D96F" w14:textId="77777777" w:rsidR="008423E4" w:rsidRPr="00742794" w:rsidRDefault="008423E4" w:rsidP="00F41823">
      <w:pPr>
        <w:tabs>
          <w:tab w:val="right" w:pos="9360"/>
        </w:tabs>
      </w:pPr>
    </w:p>
    <w:tbl>
      <w:tblPr>
        <w:tblW w:w="0" w:type="auto"/>
        <w:tblLayout w:type="fixed"/>
        <w:tblLook w:val="01E0" w:firstRow="1" w:lastRow="1" w:firstColumn="1" w:lastColumn="1" w:noHBand="0" w:noVBand="0"/>
      </w:tblPr>
      <w:tblGrid>
        <w:gridCol w:w="9576"/>
      </w:tblGrid>
      <w:tr w:rsidR="00F53C92" w14:paraId="0BFCE738" w14:textId="77777777" w:rsidTr="00345119">
        <w:tc>
          <w:tcPr>
            <w:tcW w:w="9576" w:type="dxa"/>
          </w:tcPr>
          <w:p w14:paraId="5A1252BC" w14:textId="727BC72D" w:rsidR="008423E4" w:rsidRPr="00861995" w:rsidRDefault="005D41B4" w:rsidP="00F41823">
            <w:pPr>
              <w:jc w:val="right"/>
            </w:pPr>
            <w:r>
              <w:t>C.S.S.J.R. 44</w:t>
            </w:r>
          </w:p>
        </w:tc>
      </w:tr>
      <w:tr w:rsidR="00F53C92" w14:paraId="0AD235AF" w14:textId="77777777" w:rsidTr="00345119">
        <w:tc>
          <w:tcPr>
            <w:tcW w:w="9576" w:type="dxa"/>
          </w:tcPr>
          <w:p w14:paraId="003EF88F" w14:textId="00922F98" w:rsidR="008423E4" w:rsidRPr="00861995" w:rsidRDefault="005D41B4" w:rsidP="00F41823">
            <w:pPr>
              <w:jc w:val="right"/>
            </w:pPr>
            <w:r>
              <w:t xml:space="preserve">By: </w:t>
            </w:r>
            <w:r w:rsidR="001262C8">
              <w:t>Huffman</w:t>
            </w:r>
          </w:p>
        </w:tc>
      </w:tr>
      <w:tr w:rsidR="00F53C92" w14:paraId="78DB7C4C" w14:textId="77777777" w:rsidTr="00345119">
        <w:tc>
          <w:tcPr>
            <w:tcW w:w="9576" w:type="dxa"/>
          </w:tcPr>
          <w:p w14:paraId="3D6222BD" w14:textId="6C8CCEDE" w:rsidR="008423E4" w:rsidRPr="00861995" w:rsidRDefault="005D41B4" w:rsidP="00F41823">
            <w:pPr>
              <w:jc w:val="right"/>
            </w:pPr>
            <w:r>
              <w:t>Criminal Jurisprudence</w:t>
            </w:r>
          </w:p>
        </w:tc>
      </w:tr>
      <w:tr w:rsidR="00F53C92" w14:paraId="02CB8536" w14:textId="77777777" w:rsidTr="00345119">
        <w:tc>
          <w:tcPr>
            <w:tcW w:w="9576" w:type="dxa"/>
          </w:tcPr>
          <w:p w14:paraId="173C63C0" w14:textId="43757F0C" w:rsidR="008423E4" w:rsidRDefault="005D41B4" w:rsidP="00F41823">
            <w:pPr>
              <w:jc w:val="right"/>
            </w:pPr>
            <w:r>
              <w:t>Committee Report (Substituted)</w:t>
            </w:r>
          </w:p>
        </w:tc>
      </w:tr>
    </w:tbl>
    <w:p w14:paraId="54C20E88" w14:textId="77777777" w:rsidR="008423E4" w:rsidRDefault="008423E4" w:rsidP="00F41823">
      <w:pPr>
        <w:tabs>
          <w:tab w:val="right" w:pos="9360"/>
        </w:tabs>
      </w:pPr>
    </w:p>
    <w:p w14:paraId="33B44DCD" w14:textId="77777777" w:rsidR="008423E4" w:rsidRDefault="008423E4" w:rsidP="00F41823"/>
    <w:p w14:paraId="27198C83" w14:textId="77777777" w:rsidR="008423E4" w:rsidRDefault="008423E4" w:rsidP="00F41823"/>
    <w:tbl>
      <w:tblPr>
        <w:tblW w:w="0" w:type="auto"/>
        <w:tblCellMar>
          <w:left w:w="115" w:type="dxa"/>
          <w:right w:w="115" w:type="dxa"/>
        </w:tblCellMar>
        <w:tblLook w:val="01E0" w:firstRow="1" w:lastRow="1" w:firstColumn="1" w:lastColumn="1" w:noHBand="0" w:noVBand="0"/>
      </w:tblPr>
      <w:tblGrid>
        <w:gridCol w:w="9360"/>
      </w:tblGrid>
      <w:tr w:rsidR="00F53C92" w14:paraId="5914DC92" w14:textId="77777777" w:rsidTr="00345119">
        <w:tc>
          <w:tcPr>
            <w:tcW w:w="9576" w:type="dxa"/>
          </w:tcPr>
          <w:p w14:paraId="1A304BAB" w14:textId="77777777" w:rsidR="008423E4" w:rsidRPr="00A8133F" w:rsidRDefault="005D41B4" w:rsidP="00F41823">
            <w:pPr>
              <w:rPr>
                <w:b/>
              </w:rPr>
            </w:pPr>
            <w:r w:rsidRPr="009C1E9A">
              <w:rPr>
                <w:b/>
                <w:u w:val="single"/>
              </w:rPr>
              <w:t>BACKGROUND AND PURPOSE</w:t>
            </w:r>
            <w:r>
              <w:rPr>
                <w:b/>
              </w:rPr>
              <w:t xml:space="preserve"> </w:t>
            </w:r>
          </w:p>
          <w:p w14:paraId="49D39CF0" w14:textId="77777777" w:rsidR="008423E4" w:rsidRDefault="008423E4" w:rsidP="00F41823"/>
          <w:p w14:paraId="56387768" w14:textId="6E69EC2E" w:rsidR="008423E4" w:rsidRDefault="005D41B4" w:rsidP="00F41823">
            <w:pPr>
              <w:pStyle w:val="Header"/>
              <w:tabs>
                <w:tab w:val="clear" w:pos="4320"/>
                <w:tab w:val="clear" w:pos="8640"/>
              </w:tabs>
              <w:jc w:val="both"/>
            </w:pPr>
            <w:r w:rsidRPr="00EA2843">
              <w:t xml:space="preserve">Currently, the Texas Constitution has </w:t>
            </w:r>
            <w:r w:rsidR="00410CF6">
              <w:t>few</w:t>
            </w:r>
            <w:r w:rsidRPr="00EA2843">
              <w:t xml:space="preserve"> exceptions for cases in which judges can deny bail outright. Defendants have the right to a release before their trial unless they are charged with capital murder or have repeated charges for violent offenses. In certain cases, violent offenders are able </w:t>
            </w:r>
            <w:r w:rsidRPr="00EA2843">
              <w:t xml:space="preserve">to make bail while low-level offenders who pose little to no threat to public safety are not able to make bail. Unfortunately, current options for denying bail pending trial effectively require a full trial on the merits at the time bail is denied and are </w:t>
            </w:r>
            <w:r w:rsidRPr="00EA2843">
              <w:t>rarely utilized. C.S.S.J.R. 44 seeks to protect Texans by providing a process for a judge or magistrate to deny bail to defendants charged with major offenses if that denial is determined to be necessary to protect public safety and ensure a defendant's ap</w:t>
            </w:r>
            <w:r w:rsidRPr="00EA2843">
              <w:t>pearance in court as required. Additionally, C.S.S.J.R.</w:t>
            </w:r>
            <w:r w:rsidR="00410CF6">
              <w:t> </w:t>
            </w:r>
            <w:r w:rsidRPr="00EA2843">
              <w:t>44 requires a judge or magistrate to impose the least restrictive conditions of bail that may be necessary to ensure the person's appearance in court as required and the safety of the community, law e</w:t>
            </w:r>
            <w:r w:rsidRPr="00EA2843">
              <w:t>nforcement, and the victim of the alleged offense.</w:t>
            </w:r>
          </w:p>
          <w:p w14:paraId="4F49B0EA" w14:textId="77777777" w:rsidR="008423E4" w:rsidRPr="00E26B13" w:rsidRDefault="008423E4" w:rsidP="00F41823">
            <w:pPr>
              <w:rPr>
                <w:b/>
              </w:rPr>
            </w:pPr>
          </w:p>
        </w:tc>
      </w:tr>
      <w:tr w:rsidR="00F53C92" w14:paraId="000FEEC0" w14:textId="77777777" w:rsidTr="00345119">
        <w:tc>
          <w:tcPr>
            <w:tcW w:w="9576" w:type="dxa"/>
          </w:tcPr>
          <w:p w14:paraId="105EA588" w14:textId="77777777" w:rsidR="0017725B" w:rsidRDefault="005D41B4" w:rsidP="00F41823">
            <w:pPr>
              <w:rPr>
                <w:b/>
                <w:u w:val="single"/>
              </w:rPr>
            </w:pPr>
            <w:r>
              <w:rPr>
                <w:b/>
                <w:u w:val="single"/>
              </w:rPr>
              <w:t>CRIMINAL JUSTICE IMPACT</w:t>
            </w:r>
          </w:p>
          <w:p w14:paraId="1A0119BE" w14:textId="77777777" w:rsidR="0017725B" w:rsidRDefault="0017725B" w:rsidP="00F41823">
            <w:pPr>
              <w:rPr>
                <w:b/>
                <w:u w:val="single"/>
              </w:rPr>
            </w:pPr>
          </w:p>
          <w:p w14:paraId="71620E4D" w14:textId="59CBA4D2" w:rsidR="0006317E" w:rsidRPr="0006317E" w:rsidRDefault="005D41B4" w:rsidP="00F41823">
            <w:pPr>
              <w:jc w:val="both"/>
            </w:pPr>
            <w:r>
              <w:t>It is the committee's opinion that this resolution does not expressly create a criminal offense, increase the punishment for an existing criminal offense or category of offenses,</w:t>
            </w:r>
            <w:r>
              <w:t xml:space="preserve"> or change the eligibility of a person for community supervision, parole, or mandatory supervision.</w:t>
            </w:r>
          </w:p>
          <w:p w14:paraId="767BA258" w14:textId="77777777" w:rsidR="0017725B" w:rsidRPr="0017725B" w:rsidRDefault="0017725B" w:rsidP="00F41823">
            <w:pPr>
              <w:rPr>
                <w:b/>
                <w:u w:val="single"/>
              </w:rPr>
            </w:pPr>
          </w:p>
        </w:tc>
      </w:tr>
      <w:tr w:rsidR="00F53C92" w14:paraId="109EFB3C" w14:textId="77777777" w:rsidTr="00345119">
        <w:tc>
          <w:tcPr>
            <w:tcW w:w="9576" w:type="dxa"/>
          </w:tcPr>
          <w:p w14:paraId="7E46FB10" w14:textId="77777777" w:rsidR="008423E4" w:rsidRPr="00A8133F" w:rsidRDefault="005D41B4" w:rsidP="00F41823">
            <w:pPr>
              <w:rPr>
                <w:b/>
              </w:rPr>
            </w:pPr>
            <w:r w:rsidRPr="009C1E9A">
              <w:rPr>
                <w:b/>
                <w:u w:val="single"/>
              </w:rPr>
              <w:t>RULEMAKING AUTHORITY</w:t>
            </w:r>
            <w:r>
              <w:rPr>
                <w:b/>
              </w:rPr>
              <w:t xml:space="preserve"> </w:t>
            </w:r>
          </w:p>
          <w:p w14:paraId="041A8150" w14:textId="77777777" w:rsidR="008423E4" w:rsidRDefault="008423E4" w:rsidP="00F41823"/>
          <w:p w14:paraId="42C051D3" w14:textId="670FD155" w:rsidR="0006317E" w:rsidRDefault="005D41B4" w:rsidP="00F41823">
            <w:pPr>
              <w:pStyle w:val="Header"/>
              <w:tabs>
                <w:tab w:val="clear" w:pos="4320"/>
                <w:tab w:val="clear" w:pos="8640"/>
              </w:tabs>
              <w:jc w:val="both"/>
            </w:pPr>
            <w:r>
              <w:t>It is the committee's opinion that this resolution does not expressly grant any additional rulemaking authority to a state officer,</w:t>
            </w:r>
            <w:r>
              <w:t xml:space="preserve"> department, agency, or institution.</w:t>
            </w:r>
          </w:p>
          <w:p w14:paraId="286D9FFA" w14:textId="77777777" w:rsidR="008423E4" w:rsidRPr="00E21FDC" w:rsidRDefault="008423E4" w:rsidP="00F41823">
            <w:pPr>
              <w:rPr>
                <w:b/>
              </w:rPr>
            </w:pPr>
          </w:p>
        </w:tc>
      </w:tr>
      <w:tr w:rsidR="00F53C92" w14:paraId="26B610F7" w14:textId="77777777" w:rsidTr="00345119">
        <w:tc>
          <w:tcPr>
            <w:tcW w:w="9576" w:type="dxa"/>
          </w:tcPr>
          <w:p w14:paraId="3E18F63A" w14:textId="632374A7" w:rsidR="008423E4" w:rsidRPr="00A8133F" w:rsidRDefault="005D41B4" w:rsidP="00F41823">
            <w:pPr>
              <w:rPr>
                <w:b/>
              </w:rPr>
            </w:pPr>
            <w:r w:rsidRPr="009C1E9A">
              <w:rPr>
                <w:b/>
                <w:u w:val="single"/>
              </w:rPr>
              <w:t>ANALYSIS</w:t>
            </w:r>
          </w:p>
          <w:p w14:paraId="5EAAE935" w14:textId="77777777" w:rsidR="008423E4" w:rsidRDefault="008423E4" w:rsidP="00F41823"/>
          <w:p w14:paraId="000FCCF5" w14:textId="173F4559" w:rsidR="007C190E" w:rsidRDefault="005D41B4" w:rsidP="00F41823">
            <w:pPr>
              <w:pStyle w:val="Header"/>
              <w:jc w:val="both"/>
            </w:pPr>
            <w:r>
              <w:t>C.S.S</w:t>
            </w:r>
            <w:r w:rsidR="00E07437">
              <w:t xml:space="preserve">.J.R. </w:t>
            </w:r>
            <w:r w:rsidR="003D5CFC">
              <w:t xml:space="preserve">44 </w:t>
            </w:r>
            <w:r w:rsidR="00E07437">
              <w:t>proposes an amendment to the Texas Constitution to</w:t>
            </w:r>
            <w:r w:rsidR="00F14ACB">
              <w:t xml:space="preserve"> </w:t>
            </w:r>
            <w:r>
              <w:t xml:space="preserve">require a judge or magistrate in setting bail to </w:t>
            </w:r>
            <w:r w:rsidRPr="0006317E">
              <w:t xml:space="preserve">impose the least restrictive conditions, if any, that are necessary to reasonably </w:t>
            </w:r>
            <w:r w:rsidRPr="0006317E">
              <w:t>ensure the accused person's appearance in court as required and the safety of the community, law enforcement, and the victim of the alleged offense.</w:t>
            </w:r>
          </w:p>
          <w:p w14:paraId="121AE7EB" w14:textId="77777777" w:rsidR="007C190E" w:rsidRDefault="007C190E" w:rsidP="00F41823">
            <w:pPr>
              <w:pStyle w:val="Header"/>
              <w:jc w:val="both"/>
            </w:pPr>
          </w:p>
          <w:p w14:paraId="41A7CCE7" w14:textId="27538C05" w:rsidR="008451FC" w:rsidRDefault="005D41B4" w:rsidP="00F41823">
            <w:pPr>
              <w:pStyle w:val="Header"/>
              <w:jc w:val="both"/>
            </w:pPr>
            <w:r w:rsidRPr="0012211F">
              <w:t>C.S.S</w:t>
            </w:r>
            <w:r w:rsidR="007C190E">
              <w:t xml:space="preserve">.J.R. </w:t>
            </w:r>
            <w:r w:rsidR="003D5CFC">
              <w:t xml:space="preserve">44 </w:t>
            </w:r>
            <w:r w:rsidR="00F14ACB">
              <w:t>authorize</w:t>
            </w:r>
            <w:r w:rsidR="00F56BAD">
              <w:t>s</w:t>
            </w:r>
            <w:r w:rsidR="00411751">
              <w:t xml:space="preserve"> </w:t>
            </w:r>
            <w:r w:rsidR="00411751" w:rsidRPr="00411751">
              <w:t>a judge or magistrate</w:t>
            </w:r>
            <w:r w:rsidR="00411751">
              <w:t xml:space="preserve"> to deny bail </w:t>
            </w:r>
            <w:r w:rsidR="00A07C64">
              <w:t xml:space="preserve">to </w:t>
            </w:r>
            <w:r w:rsidR="00F14ACB">
              <w:t xml:space="preserve">a </w:t>
            </w:r>
            <w:r w:rsidR="00F14ACB" w:rsidRPr="00F14ACB">
              <w:t xml:space="preserve">person accused of committing a </w:t>
            </w:r>
            <w:r>
              <w:t>major</w:t>
            </w:r>
            <w:r w:rsidRPr="00F14ACB">
              <w:t xml:space="preserve"> </w:t>
            </w:r>
            <w:r w:rsidR="00F14ACB" w:rsidRPr="00F14ACB">
              <w:t xml:space="preserve">offense pending trial if </w:t>
            </w:r>
            <w:r w:rsidR="00DE5983">
              <w:t>the</w:t>
            </w:r>
            <w:r w:rsidR="00F14ACB" w:rsidRPr="00F14ACB">
              <w:t xml:space="preserve"> judge or magistrate determines by clear and convincing evidence after a hearing that bail and conditions of release </w:t>
            </w:r>
            <w:r>
              <w:t>are</w:t>
            </w:r>
            <w:r w:rsidRPr="00F14ACB">
              <w:t xml:space="preserve"> </w:t>
            </w:r>
            <w:r w:rsidR="00F14ACB" w:rsidRPr="00F14ACB">
              <w:t xml:space="preserve">insufficient to reasonably </w:t>
            </w:r>
            <w:r>
              <w:t xml:space="preserve">manage a specific risk of </w:t>
            </w:r>
            <w:r w:rsidR="00F14ACB" w:rsidRPr="00F14ACB">
              <w:t xml:space="preserve">the person's </w:t>
            </w:r>
            <w:r>
              <w:t>wilf</w:t>
            </w:r>
            <w:r w:rsidR="00DD0E5A">
              <w:t>u</w:t>
            </w:r>
            <w:r>
              <w:t>l non</w:t>
            </w:r>
            <w:r w:rsidR="00F14ACB" w:rsidRPr="00F14ACB">
              <w:t xml:space="preserve">appearance in court </w:t>
            </w:r>
            <w:r>
              <w:t>in violation of</w:t>
            </w:r>
            <w:r>
              <w:t xml:space="preserve"> a requirement</w:t>
            </w:r>
            <w:r w:rsidR="00F14ACB">
              <w:t xml:space="preserve"> or </w:t>
            </w:r>
            <w:r>
              <w:t xml:space="preserve">to </w:t>
            </w:r>
            <w:r w:rsidR="00F14ACB" w:rsidRPr="00F14ACB">
              <w:t>the safety of the community, law enforcement, or the victim of the alleged offense.</w:t>
            </w:r>
            <w:r w:rsidR="0006317E">
              <w:t xml:space="preserve"> </w:t>
            </w:r>
            <w:r>
              <w:t xml:space="preserve">The resolution prohibits a judge or magistrate from </w:t>
            </w:r>
            <w:r w:rsidRPr="008451FC">
              <w:t>deny</w:t>
            </w:r>
            <w:r>
              <w:t>ing</w:t>
            </w:r>
            <w:r w:rsidRPr="008451FC">
              <w:t xml:space="preserve"> a person bail except after a hearing held not later than 72 hours after the person's arrest</w:t>
            </w:r>
            <w:r w:rsidRPr="008451FC">
              <w:t>. The</w:t>
            </w:r>
            <w:r>
              <w:t xml:space="preserve"> resolution requires the</w:t>
            </w:r>
            <w:r w:rsidRPr="008451FC">
              <w:t xml:space="preserve"> judge or magistrate </w:t>
            </w:r>
            <w:r>
              <w:t>to</w:t>
            </w:r>
            <w:r w:rsidRPr="008451FC">
              <w:t xml:space="preserve"> appoint counsel to represent the person at the hearing if counsel does not enter an appearance to represent the person before the hearing. A hearing is not required to release a person on bail.</w:t>
            </w:r>
          </w:p>
          <w:p w14:paraId="46184149" w14:textId="77777777" w:rsidR="008451FC" w:rsidRDefault="008451FC" w:rsidP="00F41823">
            <w:pPr>
              <w:pStyle w:val="Header"/>
              <w:jc w:val="both"/>
            </w:pPr>
          </w:p>
          <w:p w14:paraId="425A511D" w14:textId="4B2F65C5" w:rsidR="0006317E" w:rsidRDefault="005D41B4" w:rsidP="00F41823">
            <w:pPr>
              <w:pStyle w:val="Header"/>
              <w:jc w:val="both"/>
            </w:pPr>
            <w:r w:rsidRPr="008451FC">
              <w:t>C.S.S.J.</w:t>
            </w:r>
            <w:r w:rsidRPr="008451FC">
              <w:t xml:space="preserve">R. </w:t>
            </w:r>
            <w:r w:rsidR="003D5CFC">
              <w:t>44</w:t>
            </w:r>
            <w:r w:rsidRPr="008451FC">
              <w:t xml:space="preserve"> </w:t>
            </w:r>
            <w:r>
              <w:t xml:space="preserve">requires </w:t>
            </w:r>
            <w:r w:rsidRPr="0006317E">
              <w:t>a judge or magistrate</w:t>
            </w:r>
            <w:r w:rsidR="00A07C64">
              <w:t xml:space="preserve"> who </w:t>
            </w:r>
            <w:r w:rsidR="00411751" w:rsidRPr="00411751">
              <w:t xml:space="preserve">denies a person bail in accordance with </w:t>
            </w:r>
            <w:r w:rsidR="002625BB">
              <w:t>these</w:t>
            </w:r>
            <w:r w:rsidR="002625BB" w:rsidRPr="00411751">
              <w:t xml:space="preserve"> </w:t>
            </w:r>
            <w:r w:rsidR="00411751" w:rsidRPr="00411751">
              <w:t>provisions</w:t>
            </w:r>
            <w:r w:rsidR="00A07C64">
              <w:t xml:space="preserve"> to </w:t>
            </w:r>
            <w:r w:rsidRPr="0006317E">
              <w:t>prepare a written order that includes findings of fact and a statement explaining the judge's or magistrate's reason for the denial</w:t>
            </w:r>
            <w:r w:rsidR="00A07C64">
              <w:t xml:space="preserve">. The </w:t>
            </w:r>
            <w:r w:rsidR="00CD41CC">
              <w:t>resolution</w:t>
            </w:r>
            <w:r w:rsidR="00A07C64">
              <w:t xml:space="preserve"> requires a judge or magistrate, </w:t>
            </w:r>
            <w:r w:rsidRPr="0006317E">
              <w:t>for purposes of determining whether clear and convincing evidence exists</w:t>
            </w:r>
            <w:r w:rsidR="00794A11">
              <w:t xml:space="preserve"> to </w:t>
            </w:r>
            <w:r w:rsidRPr="0006317E">
              <w:t>deny a person bail, to consider the factors required to be considered by a judge or magistrate in setting bail under general law, including statutory law g</w:t>
            </w:r>
            <w:r w:rsidRPr="0006317E">
              <w:t>overning criminal procedure</w:t>
            </w:r>
            <w:r w:rsidR="00A36289">
              <w:t xml:space="preserve">, and </w:t>
            </w:r>
            <w:r w:rsidR="00A36289" w:rsidRPr="00A36289">
              <w:t>apply those factors to the particularized facts and circumstances of the offense and any criminal episode during which the offense occurred</w:t>
            </w:r>
            <w:r w:rsidR="002625BB">
              <w:t>.</w:t>
            </w:r>
            <w:r w:rsidR="007C190E">
              <w:t xml:space="preserve"> </w:t>
            </w:r>
            <w:r w:rsidR="00111223">
              <w:t xml:space="preserve">The </w:t>
            </w:r>
            <w:r w:rsidR="007C190E">
              <w:t xml:space="preserve">resolution </w:t>
            </w:r>
            <w:r w:rsidR="00111223">
              <w:t>expressly prohibits these provisions</w:t>
            </w:r>
            <w:r w:rsidR="007C190E">
              <w:t xml:space="preserve"> </w:t>
            </w:r>
            <w:r w:rsidR="00111223">
              <w:t xml:space="preserve">from being construed to </w:t>
            </w:r>
            <w:r w:rsidR="00E07437">
              <w:t>limit any right a person has under other law to contest a denial of bail or to contest the amount of bail set by a judge or magistrate or</w:t>
            </w:r>
            <w:r w:rsidR="00111223">
              <w:t xml:space="preserve"> </w:t>
            </w:r>
            <w:r w:rsidR="007C190E">
              <w:t xml:space="preserve">to </w:t>
            </w:r>
            <w:r w:rsidR="00E07437">
              <w:t xml:space="preserve">require </w:t>
            </w:r>
            <w:r w:rsidR="00A36289">
              <w:t xml:space="preserve">the presentation of </w:t>
            </w:r>
            <w:r w:rsidR="00E07437">
              <w:t xml:space="preserve">testimonial evidence before a judge or magistrate makes a bail decision with respect to a person to whom </w:t>
            </w:r>
            <w:r w:rsidR="002625BB">
              <w:t>these provisions</w:t>
            </w:r>
            <w:r w:rsidR="00E07437">
              <w:t xml:space="preserve"> appl</w:t>
            </w:r>
            <w:r w:rsidR="002625BB">
              <w:t>y</w:t>
            </w:r>
            <w:r w:rsidR="00E07437">
              <w:t>.</w:t>
            </w:r>
            <w:r w:rsidR="00111223">
              <w:t xml:space="preserve"> </w:t>
            </w:r>
          </w:p>
          <w:p w14:paraId="7E4EE30D" w14:textId="33695578" w:rsidR="00E07437" w:rsidRDefault="00E07437" w:rsidP="00F41823">
            <w:pPr>
              <w:pStyle w:val="Header"/>
              <w:jc w:val="both"/>
            </w:pPr>
          </w:p>
          <w:p w14:paraId="0AC09F70" w14:textId="4617D89D" w:rsidR="00A36289" w:rsidRDefault="005D41B4" w:rsidP="00F41823">
            <w:pPr>
              <w:pStyle w:val="Header"/>
              <w:jc w:val="both"/>
            </w:pPr>
            <w:r w:rsidRPr="0012211F">
              <w:t>C.S.S</w:t>
            </w:r>
            <w:r w:rsidR="00111223">
              <w:t xml:space="preserve">.J.R. </w:t>
            </w:r>
            <w:r w:rsidR="003D5CFC">
              <w:t xml:space="preserve">44 </w:t>
            </w:r>
            <w:r w:rsidR="00111223">
              <w:t>defines "</w:t>
            </w:r>
            <w:r>
              <w:t xml:space="preserve">major </w:t>
            </w:r>
            <w:r w:rsidR="00111223">
              <w:t>offense" as</w:t>
            </w:r>
            <w:r>
              <w:t xml:space="preserve"> follows:</w:t>
            </w:r>
          </w:p>
          <w:p w14:paraId="7FCD9113" w14:textId="0A81D927" w:rsidR="00A36289" w:rsidRDefault="005D41B4" w:rsidP="00F41823">
            <w:pPr>
              <w:pStyle w:val="Header"/>
              <w:numPr>
                <w:ilvl w:val="0"/>
                <w:numId w:val="2"/>
              </w:numPr>
              <w:jc w:val="both"/>
            </w:pPr>
            <w:r>
              <w:t>murder, if the person intentionally or knowingly caused the death of an individual;</w:t>
            </w:r>
          </w:p>
          <w:p w14:paraId="732B6D50" w14:textId="77777777" w:rsidR="00067991" w:rsidRDefault="005D41B4" w:rsidP="00F41823">
            <w:pPr>
              <w:pStyle w:val="Header"/>
              <w:numPr>
                <w:ilvl w:val="0"/>
                <w:numId w:val="2"/>
              </w:numPr>
              <w:jc w:val="both"/>
            </w:pPr>
            <w:r>
              <w:t xml:space="preserve">aggravated assault, if the person used or exhibited a </w:t>
            </w:r>
            <w:r>
              <w:t>deadly weapon during the commission of the assault and assaults an individual the person knows is a public servant:</w:t>
            </w:r>
          </w:p>
          <w:p w14:paraId="0CA680A7" w14:textId="77777777" w:rsidR="00067991" w:rsidRDefault="005D41B4" w:rsidP="00F41823">
            <w:pPr>
              <w:pStyle w:val="Header"/>
              <w:numPr>
                <w:ilvl w:val="1"/>
                <w:numId w:val="2"/>
              </w:numPr>
              <w:jc w:val="both"/>
            </w:pPr>
            <w:r>
              <w:t>while the public servant is lawfully discharging an official duty or wearing a distinctive uniform or badge indicating the person's employme</w:t>
            </w:r>
            <w:r>
              <w:t>nt as a public servant; or</w:t>
            </w:r>
          </w:p>
          <w:p w14:paraId="783DC18F" w14:textId="6C582B38" w:rsidR="00A36289" w:rsidRDefault="005D41B4" w:rsidP="00F41823">
            <w:pPr>
              <w:pStyle w:val="Header"/>
              <w:numPr>
                <w:ilvl w:val="1"/>
                <w:numId w:val="2"/>
              </w:numPr>
              <w:jc w:val="both"/>
            </w:pPr>
            <w:r>
              <w:t>in retaliation for or on account of an exercise of official power or performance of an official duty as a public servant;</w:t>
            </w:r>
          </w:p>
          <w:p w14:paraId="74378DD9" w14:textId="040C9C64" w:rsidR="00A36289" w:rsidRDefault="005D41B4" w:rsidP="00F41823">
            <w:pPr>
              <w:pStyle w:val="Header"/>
              <w:numPr>
                <w:ilvl w:val="0"/>
                <w:numId w:val="2"/>
              </w:numPr>
              <w:jc w:val="both"/>
            </w:pPr>
            <w:r>
              <w:t>aggravated sexual assault, if the person used or exhibited a deadly weapon during the commission of the ass</w:t>
            </w:r>
            <w:r>
              <w:t>ault;</w:t>
            </w:r>
          </w:p>
          <w:p w14:paraId="1249A443" w14:textId="72D86B9C" w:rsidR="00A36289" w:rsidRDefault="005D41B4" w:rsidP="00F41823">
            <w:pPr>
              <w:pStyle w:val="Header"/>
              <w:numPr>
                <w:ilvl w:val="0"/>
                <w:numId w:val="2"/>
              </w:numPr>
              <w:jc w:val="both"/>
            </w:pPr>
            <w:r>
              <w:t>aggravated robbery, if the person used or exhibited a deadly weapon during the commission of the robbery; or</w:t>
            </w:r>
          </w:p>
          <w:p w14:paraId="6B00BE39" w14:textId="7225CF7E" w:rsidR="00E07437" w:rsidRPr="009C36CD" w:rsidRDefault="005D41B4" w:rsidP="00F41823">
            <w:pPr>
              <w:pStyle w:val="Header"/>
              <w:numPr>
                <w:ilvl w:val="0"/>
                <w:numId w:val="2"/>
              </w:numPr>
              <w:jc w:val="both"/>
            </w:pPr>
            <w:r>
              <w:t>continuous trafficking of persons.</w:t>
            </w:r>
          </w:p>
          <w:p w14:paraId="63EA1860" w14:textId="77777777" w:rsidR="008423E4" w:rsidRPr="00835628" w:rsidRDefault="008423E4" w:rsidP="00F41823">
            <w:pPr>
              <w:rPr>
                <w:b/>
              </w:rPr>
            </w:pPr>
          </w:p>
        </w:tc>
      </w:tr>
      <w:tr w:rsidR="00F53C92" w14:paraId="3D806E27" w14:textId="77777777" w:rsidTr="00345119">
        <w:tc>
          <w:tcPr>
            <w:tcW w:w="9576" w:type="dxa"/>
          </w:tcPr>
          <w:p w14:paraId="31B59166" w14:textId="77777777" w:rsidR="008423E4" w:rsidRPr="00A8133F" w:rsidRDefault="005D41B4" w:rsidP="00F41823">
            <w:pPr>
              <w:rPr>
                <w:b/>
              </w:rPr>
            </w:pPr>
            <w:r>
              <w:rPr>
                <w:b/>
                <w:u w:val="single"/>
              </w:rPr>
              <w:t>ELECTION DATE</w:t>
            </w:r>
            <w:r>
              <w:rPr>
                <w:b/>
              </w:rPr>
              <w:t xml:space="preserve"> </w:t>
            </w:r>
          </w:p>
          <w:p w14:paraId="1D97BC57" w14:textId="77777777" w:rsidR="008423E4" w:rsidRDefault="008423E4" w:rsidP="00F41823"/>
          <w:p w14:paraId="6121179E" w14:textId="0CDC02F0" w:rsidR="008423E4" w:rsidRPr="003624F2" w:rsidRDefault="005D41B4" w:rsidP="00F41823">
            <w:pPr>
              <w:pStyle w:val="Header"/>
              <w:tabs>
                <w:tab w:val="clear" w:pos="4320"/>
                <w:tab w:val="clear" w:pos="8640"/>
              </w:tabs>
              <w:jc w:val="both"/>
            </w:pPr>
            <w:r>
              <w:t xml:space="preserve">The constitutional amendment proposed by this joint resolution will be </w:t>
            </w:r>
            <w:r>
              <w:t>submitted to the voters at an election to be held November 7, 2023.</w:t>
            </w:r>
          </w:p>
          <w:p w14:paraId="4D93E336" w14:textId="77777777" w:rsidR="008423E4" w:rsidRPr="00233FDB" w:rsidRDefault="008423E4" w:rsidP="00F41823">
            <w:pPr>
              <w:rPr>
                <w:b/>
              </w:rPr>
            </w:pPr>
          </w:p>
        </w:tc>
      </w:tr>
      <w:tr w:rsidR="00F53C92" w14:paraId="5E92CF93" w14:textId="77777777" w:rsidTr="00345119">
        <w:tc>
          <w:tcPr>
            <w:tcW w:w="9576" w:type="dxa"/>
          </w:tcPr>
          <w:p w14:paraId="7F182FCD" w14:textId="77777777" w:rsidR="001262C8" w:rsidRDefault="005D41B4" w:rsidP="00F41823">
            <w:pPr>
              <w:jc w:val="both"/>
              <w:rPr>
                <w:b/>
                <w:u w:val="single"/>
              </w:rPr>
            </w:pPr>
            <w:r>
              <w:rPr>
                <w:b/>
                <w:u w:val="single"/>
              </w:rPr>
              <w:t>COMPARISON OF SENATE ENGROSSED AND SUBSTITUTE</w:t>
            </w:r>
          </w:p>
          <w:p w14:paraId="4697D7DE" w14:textId="77777777" w:rsidR="00067991" w:rsidRDefault="00067991" w:rsidP="00F41823">
            <w:pPr>
              <w:jc w:val="both"/>
              <w:rPr>
                <w:b/>
                <w:u w:val="single"/>
              </w:rPr>
            </w:pPr>
          </w:p>
          <w:p w14:paraId="4A413597" w14:textId="77777777" w:rsidR="00676198" w:rsidRDefault="005D41B4" w:rsidP="00F41823">
            <w:pPr>
              <w:jc w:val="both"/>
            </w:pPr>
            <w:r>
              <w:t xml:space="preserve">While C.S.S.J.R. 44 may differ from the engrossed in minor or nonsubstantive ways, the following summarizes the substantial </w:t>
            </w:r>
            <w:r>
              <w:t>differences between the engrossed and committee substitute versions of the resolution.</w:t>
            </w:r>
          </w:p>
          <w:p w14:paraId="42B1C8CF" w14:textId="77777777" w:rsidR="00676198" w:rsidRDefault="00676198" w:rsidP="00F41823">
            <w:pPr>
              <w:jc w:val="both"/>
            </w:pPr>
          </w:p>
          <w:p w14:paraId="397176B4" w14:textId="77777777" w:rsidR="00676198" w:rsidRDefault="005D41B4" w:rsidP="00F41823">
            <w:pPr>
              <w:jc w:val="both"/>
            </w:pPr>
            <w:r>
              <w:t>Both the engrossed and the substitute authorize a judge or magistrate to deny bail to a person accused of continuous trafficking of persons. However, the other offenses</w:t>
            </w:r>
            <w:r>
              <w:t xml:space="preserve"> to which that authorization applies differ. </w:t>
            </w:r>
            <w:r w:rsidRPr="00AA3104">
              <w:t xml:space="preserve">Whereas the </w:t>
            </w:r>
            <w:r>
              <w:t xml:space="preserve">engrossed authorized </w:t>
            </w:r>
            <w:r w:rsidRPr="00AA3104">
              <w:t xml:space="preserve">a judge or magistrate to </w:t>
            </w:r>
            <w:r>
              <w:t xml:space="preserve">also </w:t>
            </w:r>
            <w:r w:rsidRPr="00AA3104">
              <w:t>deny bail to a person accused of committing a sexual offense punishable as a first</w:t>
            </w:r>
            <w:r>
              <w:t>-</w:t>
            </w:r>
            <w:r w:rsidRPr="00AA3104">
              <w:t>degree felony</w:t>
            </w:r>
            <w:r>
              <w:t xml:space="preserve"> or </w:t>
            </w:r>
            <w:r w:rsidRPr="00AA3104">
              <w:t>a violent offense,</w:t>
            </w:r>
            <w:r>
              <w:t xml:space="preserve"> defined as murder; aggravated</w:t>
            </w:r>
            <w:r>
              <w:t xml:space="preserve"> assault, if the accused used or exhibited a deadly weapon during the commission of the assault; aggravated kidnapping; or aggravated robbery, </w:t>
            </w:r>
            <w:r w:rsidRPr="00AA3104">
              <w:t xml:space="preserve">the substitute </w:t>
            </w:r>
            <w:r>
              <w:t xml:space="preserve">limits the applicability of that authorization to a person accused of committing a major offense, </w:t>
            </w:r>
            <w:r>
              <w:t>including continuous trafficking of persons or:</w:t>
            </w:r>
          </w:p>
          <w:p w14:paraId="50E3B87F" w14:textId="77777777" w:rsidR="00676198" w:rsidRDefault="005D41B4" w:rsidP="00F41823">
            <w:pPr>
              <w:pStyle w:val="Header"/>
              <w:numPr>
                <w:ilvl w:val="0"/>
                <w:numId w:val="2"/>
              </w:numPr>
              <w:jc w:val="both"/>
            </w:pPr>
            <w:r>
              <w:t xml:space="preserve"> murder, if the person intentionally or knowingly caused the death of an individual;</w:t>
            </w:r>
          </w:p>
          <w:p w14:paraId="4B29C98F" w14:textId="77777777" w:rsidR="00676198" w:rsidRDefault="005D41B4" w:rsidP="00F41823">
            <w:pPr>
              <w:pStyle w:val="Header"/>
              <w:numPr>
                <w:ilvl w:val="0"/>
                <w:numId w:val="2"/>
              </w:numPr>
              <w:jc w:val="both"/>
            </w:pPr>
            <w:r>
              <w:t>aggravated assault, if the person used or exhibited a deadly weapon during the commission of the assault and assaults an in</w:t>
            </w:r>
            <w:r>
              <w:t>dividual the person knows is a public servant:</w:t>
            </w:r>
          </w:p>
          <w:p w14:paraId="1D266298" w14:textId="77777777" w:rsidR="00676198" w:rsidRDefault="005D41B4" w:rsidP="00F41823">
            <w:pPr>
              <w:pStyle w:val="Header"/>
              <w:numPr>
                <w:ilvl w:val="1"/>
                <w:numId w:val="2"/>
              </w:numPr>
              <w:jc w:val="both"/>
            </w:pPr>
            <w:r>
              <w:t>while the public servant is lawfully discharging an official duty or wearing a distinctive uniform or badge indicating the person's employment as a public servant; or</w:t>
            </w:r>
          </w:p>
          <w:p w14:paraId="64A12D6B" w14:textId="77777777" w:rsidR="00676198" w:rsidRDefault="005D41B4" w:rsidP="00F41823">
            <w:pPr>
              <w:pStyle w:val="Header"/>
              <w:numPr>
                <w:ilvl w:val="1"/>
                <w:numId w:val="2"/>
              </w:numPr>
              <w:jc w:val="both"/>
            </w:pPr>
            <w:r>
              <w:t>in retaliation for or on account of an exe</w:t>
            </w:r>
            <w:r>
              <w:t>rcise of official power or performance of an official duty as a public servant;</w:t>
            </w:r>
          </w:p>
          <w:p w14:paraId="165857A9" w14:textId="77777777" w:rsidR="00676198" w:rsidRDefault="005D41B4" w:rsidP="00F41823">
            <w:pPr>
              <w:pStyle w:val="Header"/>
              <w:numPr>
                <w:ilvl w:val="0"/>
                <w:numId w:val="2"/>
              </w:numPr>
              <w:jc w:val="both"/>
            </w:pPr>
            <w:r>
              <w:t>aggravated sexual assault, if the person used or exhibited a deadly weapon during the commission of the assault; or</w:t>
            </w:r>
          </w:p>
          <w:p w14:paraId="5627B68D" w14:textId="77777777" w:rsidR="00676198" w:rsidRDefault="005D41B4" w:rsidP="00F41823">
            <w:pPr>
              <w:pStyle w:val="Header"/>
              <w:numPr>
                <w:ilvl w:val="0"/>
                <w:numId w:val="2"/>
              </w:numPr>
              <w:jc w:val="both"/>
            </w:pPr>
            <w:r>
              <w:t xml:space="preserve">aggravated robbery, if the person used or exhibited a </w:t>
            </w:r>
            <w:r>
              <w:t>deadly weapon during the commission of the robbery.</w:t>
            </w:r>
          </w:p>
          <w:p w14:paraId="4C9315FD" w14:textId="77777777" w:rsidR="00676198" w:rsidRDefault="00676198" w:rsidP="00F41823">
            <w:pPr>
              <w:jc w:val="both"/>
            </w:pPr>
          </w:p>
          <w:p w14:paraId="41BF71C9" w14:textId="77777777" w:rsidR="00676198" w:rsidRDefault="005D41B4" w:rsidP="00F41823">
            <w:pPr>
              <w:jc w:val="both"/>
            </w:pPr>
            <w:r>
              <w:t>Both</w:t>
            </w:r>
            <w:r w:rsidRPr="00CB57AA">
              <w:t xml:space="preserve"> the </w:t>
            </w:r>
            <w:r>
              <w:t>engrossed</w:t>
            </w:r>
            <w:r w:rsidRPr="00CB57AA">
              <w:t xml:space="preserve"> and the substitute </w:t>
            </w:r>
            <w:r>
              <w:t>authorize a judge or magistrate to deny bail to an applicable person p</w:t>
            </w:r>
            <w:r w:rsidRPr="00EE682A">
              <w:t xml:space="preserve">ending trial if </w:t>
            </w:r>
            <w:r>
              <w:t xml:space="preserve">the </w:t>
            </w:r>
            <w:r w:rsidRPr="00EE682A">
              <w:t>judge or magistrate determines by clear and convincing evidence after a hea</w:t>
            </w:r>
            <w:r w:rsidRPr="00EE682A">
              <w:t>ring that bail and conditions of release are insufficient</w:t>
            </w:r>
            <w:r>
              <w:t xml:space="preserve"> to protect the safety of the community, law enforcement, or the victim of the alleged offense. However,</w:t>
            </w:r>
            <w:r w:rsidRPr="00EE682A">
              <w:t xml:space="preserve"> </w:t>
            </w:r>
            <w:r>
              <w:t xml:space="preserve">the substitute establishes that this authorization may alternatively be based on </w:t>
            </w:r>
            <w:r w:rsidRPr="00CB57AA">
              <w:t>clear and con</w:t>
            </w:r>
            <w:r w:rsidRPr="00CB57AA">
              <w:t>vincing evidence</w:t>
            </w:r>
            <w:r>
              <w:t xml:space="preserve"> that bail and conditions of release are insufficient to reasonably manage a specific risk of the person's wilful nonappearance in court in violation of a requirement, whereas the engrossed established that this authorization may alternativ</w:t>
            </w:r>
            <w:r>
              <w:t xml:space="preserve">ely be based on clear and convincing evidence that requiring bail and conditions of release is insufficient to reasonably ensure the person's appearance in court as required. </w:t>
            </w:r>
          </w:p>
          <w:p w14:paraId="687D14EB" w14:textId="77777777" w:rsidR="00676198" w:rsidRDefault="00676198" w:rsidP="00F41823">
            <w:pPr>
              <w:jc w:val="both"/>
            </w:pPr>
          </w:p>
          <w:p w14:paraId="2198609A" w14:textId="77777777" w:rsidR="00676198" w:rsidRDefault="005D41B4" w:rsidP="00F41823">
            <w:pPr>
              <w:jc w:val="both"/>
            </w:pPr>
            <w:r w:rsidRPr="00CB57AA">
              <w:t xml:space="preserve">The substitute includes provisions that were not in the </w:t>
            </w:r>
            <w:r>
              <w:t>engrossed that do the f</w:t>
            </w:r>
            <w:r>
              <w:t>ollowing:</w:t>
            </w:r>
          </w:p>
          <w:p w14:paraId="6DBEB6A1" w14:textId="77777777" w:rsidR="00676198" w:rsidRDefault="005D41B4" w:rsidP="00F41823">
            <w:pPr>
              <w:pStyle w:val="ListParagraph"/>
              <w:numPr>
                <w:ilvl w:val="0"/>
                <w:numId w:val="5"/>
              </w:numPr>
              <w:contextualSpacing w:val="0"/>
              <w:jc w:val="both"/>
            </w:pPr>
            <w:r>
              <w:t>prohibit a</w:t>
            </w:r>
            <w:r w:rsidRPr="002A0F4A">
              <w:t xml:space="preserve"> judge or magistrate </w:t>
            </w:r>
            <w:r>
              <w:t>from denying</w:t>
            </w:r>
            <w:r w:rsidRPr="002A0F4A">
              <w:t xml:space="preserve"> a person bail except after a hearing held not later than 72 hours after the person's arrest</w:t>
            </w:r>
            <w:r>
              <w:t>;</w:t>
            </w:r>
          </w:p>
          <w:p w14:paraId="487131A7" w14:textId="77777777" w:rsidR="00676198" w:rsidRDefault="005D41B4" w:rsidP="00F41823">
            <w:pPr>
              <w:pStyle w:val="ListParagraph"/>
              <w:numPr>
                <w:ilvl w:val="0"/>
                <w:numId w:val="5"/>
              </w:numPr>
              <w:contextualSpacing w:val="0"/>
              <w:jc w:val="both"/>
            </w:pPr>
            <w:r>
              <w:t>require</w:t>
            </w:r>
            <w:r w:rsidRPr="002A0F4A">
              <w:t xml:space="preserve"> </w:t>
            </w:r>
            <w:r>
              <w:t>t</w:t>
            </w:r>
            <w:r w:rsidRPr="002A0F4A">
              <w:t xml:space="preserve">he judge or magistrate </w:t>
            </w:r>
            <w:r>
              <w:t>to</w:t>
            </w:r>
            <w:r w:rsidRPr="002A0F4A">
              <w:t xml:space="preserve"> appoint counsel to represent the person at the hearing if counsel does not</w:t>
            </w:r>
            <w:r w:rsidRPr="002A0F4A">
              <w:t xml:space="preserve"> enter an appearance to represent the person before the hearing</w:t>
            </w:r>
            <w:r>
              <w:t>; and</w:t>
            </w:r>
          </w:p>
          <w:p w14:paraId="398AB48D" w14:textId="77777777" w:rsidR="00676198" w:rsidRDefault="005D41B4" w:rsidP="00F41823">
            <w:pPr>
              <w:pStyle w:val="ListParagraph"/>
              <w:numPr>
                <w:ilvl w:val="0"/>
                <w:numId w:val="5"/>
              </w:numPr>
              <w:contextualSpacing w:val="0"/>
              <w:jc w:val="both"/>
            </w:pPr>
            <w:r>
              <w:t>establish that a</w:t>
            </w:r>
            <w:r w:rsidRPr="002A0F4A">
              <w:t xml:space="preserve"> hearing is not required to release a person on bail</w:t>
            </w:r>
            <w:r>
              <w:t>.</w:t>
            </w:r>
          </w:p>
          <w:p w14:paraId="193D59BF" w14:textId="77777777" w:rsidR="00676198" w:rsidRDefault="00676198" w:rsidP="00F41823">
            <w:pPr>
              <w:pStyle w:val="ListParagraph"/>
              <w:contextualSpacing w:val="0"/>
              <w:jc w:val="both"/>
            </w:pPr>
          </w:p>
          <w:p w14:paraId="61A8A3AA" w14:textId="77777777" w:rsidR="00676198" w:rsidRDefault="005D41B4" w:rsidP="00F41823">
            <w:pPr>
              <w:jc w:val="both"/>
            </w:pPr>
            <w:r w:rsidRPr="002A0F4A">
              <w:t>The</w:t>
            </w:r>
            <w:r>
              <w:t xml:space="preserve"> engrossed and the</w:t>
            </w:r>
            <w:r w:rsidRPr="002A0F4A">
              <w:t xml:space="preserve"> substitute </w:t>
            </w:r>
            <w:r>
              <w:t>both require</w:t>
            </w:r>
            <w:r w:rsidRPr="002A0F4A">
              <w:t xml:space="preserve"> </w:t>
            </w:r>
            <w:r>
              <w:t>a judge or magistrate f</w:t>
            </w:r>
            <w:r w:rsidRPr="00BA0FF1">
              <w:t>or purposes of determining whether clear and co</w:t>
            </w:r>
            <w:r w:rsidRPr="00BA0FF1">
              <w:t>nvincing evidence exists to deny a</w:t>
            </w:r>
            <w:r>
              <w:t>n applicable</w:t>
            </w:r>
            <w:r w:rsidRPr="00BA0FF1">
              <w:t xml:space="preserve"> person bail </w:t>
            </w:r>
            <w:r>
              <w:t xml:space="preserve">to </w:t>
            </w:r>
            <w:r w:rsidRPr="002A0F4A">
              <w:t>consider</w:t>
            </w:r>
            <w:r>
              <w:t xml:space="preserve"> the </w:t>
            </w:r>
            <w:r w:rsidRPr="002A0F4A">
              <w:t>factors</w:t>
            </w:r>
            <w:r>
              <w:t xml:space="preserve"> required to be considered by a judge or magistrate</w:t>
            </w:r>
            <w:r w:rsidRPr="002A0F4A">
              <w:t xml:space="preserve"> in setting bail under general law</w:t>
            </w:r>
            <w:r>
              <w:t xml:space="preserve">. However, the substitute additionally requires the judge or magistrate to </w:t>
            </w:r>
            <w:r w:rsidRPr="00A50150">
              <w:t>apply those fa</w:t>
            </w:r>
            <w:r w:rsidRPr="00A50150">
              <w:t>ctors to the particularized facts and circumstances of the offense and any criminal episode during which the offense occurred</w:t>
            </w:r>
            <w:r>
              <w:t xml:space="preserve">, which the engrossed did not require. </w:t>
            </w:r>
          </w:p>
          <w:p w14:paraId="1D9BA234" w14:textId="77777777" w:rsidR="00676198" w:rsidRDefault="00676198" w:rsidP="00F41823">
            <w:pPr>
              <w:jc w:val="both"/>
            </w:pPr>
          </w:p>
          <w:p w14:paraId="2F39FC5A" w14:textId="76AA5883" w:rsidR="00676198" w:rsidRPr="001262C8" w:rsidRDefault="005D41B4" w:rsidP="00F41823">
            <w:pPr>
              <w:jc w:val="both"/>
              <w:rPr>
                <w:b/>
                <w:u w:val="single"/>
              </w:rPr>
            </w:pPr>
            <w:r>
              <w:t>While the engrossed prohibited its</w:t>
            </w:r>
            <w:r w:rsidRPr="008B79AD">
              <w:t xml:space="preserve"> provisions from being construed to require </w:t>
            </w:r>
            <w:r>
              <w:t>any</w:t>
            </w:r>
            <w:r w:rsidRPr="008B79AD">
              <w:t xml:space="preserve"> testimonial evidence before a judge or magistrate makes a bail decision with respect to </w:t>
            </w:r>
            <w:r>
              <w:t xml:space="preserve">an applicable </w:t>
            </w:r>
            <w:r w:rsidRPr="008B79AD">
              <w:t>person</w:t>
            </w:r>
            <w:r>
              <w:t xml:space="preserve">, the substitute prohibits its </w:t>
            </w:r>
            <w:r w:rsidRPr="008B79AD">
              <w:t>provisions from being construed</w:t>
            </w:r>
            <w:r>
              <w:t xml:space="preserve"> to </w:t>
            </w:r>
            <w:r w:rsidRPr="008B79AD">
              <w:t xml:space="preserve">require the presentation of testimonial evidence before </w:t>
            </w:r>
            <w:r>
              <w:t>the</w:t>
            </w:r>
            <w:r w:rsidRPr="008B79AD">
              <w:t xml:space="preserve"> judge or magistrate m</w:t>
            </w:r>
            <w:r w:rsidRPr="008B79AD">
              <w:t xml:space="preserve">akes </w:t>
            </w:r>
            <w:r>
              <w:t>such a decision.</w:t>
            </w:r>
          </w:p>
        </w:tc>
      </w:tr>
      <w:tr w:rsidR="00F53C92" w14:paraId="50866CFA" w14:textId="77777777" w:rsidTr="00345119">
        <w:tc>
          <w:tcPr>
            <w:tcW w:w="9576" w:type="dxa"/>
          </w:tcPr>
          <w:p w14:paraId="3E07E91A" w14:textId="77777777" w:rsidR="004732C9" w:rsidRDefault="004732C9" w:rsidP="00F41823">
            <w:pPr>
              <w:rPr>
                <w:b/>
                <w:u w:val="single"/>
              </w:rPr>
            </w:pPr>
          </w:p>
        </w:tc>
      </w:tr>
      <w:tr w:rsidR="00F53C92" w14:paraId="79E5908B" w14:textId="77777777" w:rsidTr="00345119">
        <w:tc>
          <w:tcPr>
            <w:tcW w:w="9576" w:type="dxa"/>
          </w:tcPr>
          <w:p w14:paraId="7EC22A81" w14:textId="77777777" w:rsidR="004732C9" w:rsidRPr="001262C8" w:rsidRDefault="004732C9" w:rsidP="00F41823">
            <w:pPr>
              <w:jc w:val="both"/>
            </w:pPr>
          </w:p>
        </w:tc>
      </w:tr>
      <w:tr w:rsidR="00F53C92" w14:paraId="4293149E" w14:textId="77777777" w:rsidTr="00345119">
        <w:tc>
          <w:tcPr>
            <w:tcW w:w="9576" w:type="dxa"/>
          </w:tcPr>
          <w:p w14:paraId="41BE74C9" w14:textId="77777777" w:rsidR="001262C8" w:rsidRPr="004732C9" w:rsidRDefault="001262C8" w:rsidP="00F41823">
            <w:pPr>
              <w:jc w:val="both"/>
            </w:pPr>
          </w:p>
        </w:tc>
      </w:tr>
      <w:tr w:rsidR="00F53C92" w14:paraId="40223598" w14:textId="77777777" w:rsidTr="00345119">
        <w:tc>
          <w:tcPr>
            <w:tcW w:w="9576" w:type="dxa"/>
          </w:tcPr>
          <w:p w14:paraId="298721A3" w14:textId="77777777" w:rsidR="001262C8" w:rsidRPr="004732C9" w:rsidRDefault="001262C8" w:rsidP="00F41823">
            <w:pPr>
              <w:jc w:val="both"/>
            </w:pPr>
          </w:p>
        </w:tc>
      </w:tr>
      <w:tr w:rsidR="00F53C92" w14:paraId="1F2D21EA" w14:textId="77777777" w:rsidTr="00345119">
        <w:tc>
          <w:tcPr>
            <w:tcW w:w="9576" w:type="dxa"/>
          </w:tcPr>
          <w:p w14:paraId="1F0508BE" w14:textId="77777777" w:rsidR="001262C8" w:rsidRPr="004732C9" w:rsidRDefault="001262C8" w:rsidP="00F41823">
            <w:pPr>
              <w:jc w:val="both"/>
            </w:pPr>
          </w:p>
        </w:tc>
      </w:tr>
    </w:tbl>
    <w:p w14:paraId="030E985A" w14:textId="77777777" w:rsidR="008423E4" w:rsidRPr="00BE0E75" w:rsidRDefault="008423E4" w:rsidP="00F41823">
      <w:pPr>
        <w:jc w:val="both"/>
        <w:rPr>
          <w:rFonts w:ascii="Arial" w:hAnsi="Arial"/>
          <w:sz w:val="16"/>
          <w:szCs w:val="16"/>
        </w:rPr>
      </w:pPr>
    </w:p>
    <w:p w14:paraId="61F7616D" w14:textId="77777777" w:rsidR="004108C3" w:rsidRPr="008423E4" w:rsidRDefault="004108C3" w:rsidP="00F4182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155F" w14:textId="77777777" w:rsidR="00000000" w:rsidRDefault="005D41B4">
      <w:r>
        <w:separator/>
      </w:r>
    </w:p>
  </w:endnote>
  <w:endnote w:type="continuationSeparator" w:id="0">
    <w:p w14:paraId="5DB7071D" w14:textId="77777777" w:rsidR="00000000" w:rsidRDefault="005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308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3C92" w14:paraId="0188B7D6" w14:textId="77777777" w:rsidTr="009C1E9A">
      <w:trPr>
        <w:cantSplit/>
      </w:trPr>
      <w:tc>
        <w:tcPr>
          <w:tcW w:w="0" w:type="pct"/>
        </w:tcPr>
        <w:p w14:paraId="7511B6F5" w14:textId="77777777" w:rsidR="00137D90" w:rsidRDefault="00137D90" w:rsidP="009C1E9A">
          <w:pPr>
            <w:pStyle w:val="Footer"/>
            <w:tabs>
              <w:tab w:val="clear" w:pos="8640"/>
              <w:tab w:val="right" w:pos="9360"/>
            </w:tabs>
          </w:pPr>
        </w:p>
      </w:tc>
      <w:tc>
        <w:tcPr>
          <w:tcW w:w="2395" w:type="pct"/>
        </w:tcPr>
        <w:p w14:paraId="43A4DA01" w14:textId="77777777" w:rsidR="00137D90" w:rsidRDefault="00137D90" w:rsidP="009C1E9A">
          <w:pPr>
            <w:pStyle w:val="Footer"/>
            <w:tabs>
              <w:tab w:val="clear" w:pos="8640"/>
              <w:tab w:val="right" w:pos="9360"/>
            </w:tabs>
          </w:pPr>
        </w:p>
        <w:p w14:paraId="264C32A7" w14:textId="77777777" w:rsidR="001A4310" w:rsidRDefault="001A4310" w:rsidP="009C1E9A">
          <w:pPr>
            <w:pStyle w:val="Footer"/>
            <w:tabs>
              <w:tab w:val="clear" w:pos="8640"/>
              <w:tab w:val="right" w:pos="9360"/>
            </w:tabs>
          </w:pPr>
        </w:p>
        <w:p w14:paraId="544005C9" w14:textId="77777777" w:rsidR="00137D90" w:rsidRDefault="00137D90" w:rsidP="009C1E9A">
          <w:pPr>
            <w:pStyle w:val="Footer"/>
            <w:tabs>
              <w:tab w:val="clear" w:pos="8640"/>
              <w:tab w:val="right" w:pos="9360"/>
            </w:tabs>
          </w:pPr>
        </w:p>
      </w:tc>
      <w:tc>
        <w:tcPr>
          <w:tcW w:w="2453" w:type="pct"/>
        </w:tcPr>
        <w:p w14:paraId="372AD70C" w14:textId="77777777" w:rsidR="00137D90" w:rsidRDefault="00137D90" w:rsidP="009C1E9A">
          <w:pPr>
            <w:pStyle w:val="Footer"/>
            <w:tabs>
              <w:tab w:val="clear" w:pos="8640"/>
              <w:tab w:val="right" w:pos="9360"/>
            </w:tabs>
            <w:jc w:val="right"/>
          </w:pPr>
        </w:p>
      </w:tc>
    </w:tr>
    <w:tr w:rsidR="00F53C92" w14:paraId="33C7114C" w14:textId="77777777" w:rsidTr="009C1E9A">
      <w:trPr>
        <w:cantSplit/>
      </w:trPr>
      <w:tc>
        <w:tcPr>
          <w:tcW w:w="0" w:type="pct"/>
        </w:tcPr>
        <w:p w14:paraId="7501435D" w14:textId="77777777" w:rsidR="00EC379B" w:rsidRDefault="00EC379B" w:rsidP="009C1E9A">
          <w:pPr>
            <w:pStyle w:val="Footer"/>
            <w:tabs>
              <w:tab w:val="clear" w:pos="8640"/>
              <w:tab w:val="right" w:pos="9360"/>
            </w:tabs>
          </w:pPr>
        </w:p>
      </w:tc>
      <w:tc>
        <w:tcPr>
          <w:tcW w:w="2395" w:type="pct"/>
        </w:tcPr>
        <w:p w14:paraId="4C823096" w14:textId="7414384A" w:rsidR="00EC379B" w:rsidRPr="009C1E9A" w:rsidRDefault="005D41B4" w:rsidP="009C1E9A">
          <w:pPr>
            <w:pStyle w:val="Footer"/>
            <w:tabs>
              <w:tab w:val="clear" w:pos="8640"/>
              <w:tab w:val="right" w:pos="9360"/>
            </w:tabs>
            <w:rPr>
              <w:rFonts w:ascii="Shruti" w:hAnsi="Shruti"/>
              <w:sz w:val="22"/>
            </w:rPr>
          </w:pPr>
          <w:r>
            <w:rPr>
              <w:rFonts w:ascii="Shruti" w:hAnsi="Shruti"/>
              <w:sz w:val="22"/>
            </w:rPr>
            <w:t>88R 31943-D</w:t>
          </w:r>
        </w:p>
      </w:tc>
      <w:tc>
        <w:tcPr>
          <w:tcW w:w="2453" w:type="pct"/>
        </w:tcPr>
        <w:p w14:paraId="398EBBCA" w14:textId="7096803E" w:rsidR="00EC379B" w:rsidRDefault="005D41B4" w:rsidP="009C1E9A">
          <w:pPr>
            <w:pStyle w:val="Footer"/>
            <w:tabs>
              <w:tab w:val="clear" w:pos="8640"/>
              <w:tab w:val="right" w:pos="9360"/>
            </w:tabs>
            <w:jc w:val="right"/>
          </w:pPr>
          <w:r>
            <w:fldChar w:fldCharType="begin"/>
          </w:r>
          <w:r>
            <w:instrText xml:space="preserve"> DOCPROPERTY  OTID  \* MERGEFORMAT </w:instrText>
          </w:r>
          <w:r>
            <w:fldChar w:fldCharType="separate"/>
          </w:r>
          <w:r w:rsidR="004B44C5">
            <w:t>23.140.632</w:t>
          </w:r>
          <w:r>
            <w:fldChar w:fldCharType="end"/>
          </w:r>
        </w:p>
      </w:tc>
    </w:tr>
    <w:tr w:rsidR="00F53C92" w14:paraId="13C186B9" w14:textId="77777777" w:rsidTr="009C1E9A">
      <w:trPr>
        <w:cantSplit/>
      </w:trPr>
      <w:tc>
        <w:tcPr>
          <w:tcW w:w="0" w:type="pct"/>
        </w:tcPr>
        <w:p w14:paraId="76EF4D13" w14:textId="77777777" w:rsidR="00EC379B" w:rsidRDefault="00EC379B" w:rsidP="009C1E9A">
          <w:pPr>
            <w:pStyle w:val="Footer"/>
            <w:tabs>
              <w:tab w:val="clear" w:pos="4320"/>
              <w:tab w:val="clear" w:pos="8640"/>
              <w:tab w:val="left" w:pos="2865"/>
            </w:tabs>
          </w:pPr>
        </w:p>
      </w:tc>
      <w:tc>
        <w:tcPr>
          <w:tcW w:w="2395" w:type="pct"/>
        </w:tcPr>
        <w:p w14:paraId="556CC225" w14:textId="048047F8" w:rsidR="00EC379B" w:rsidRPr="009C1E9A" w:rsidRDefault="005D41B4" w:rsidP="009C1E9A">
          <w:pPr>
            <w:pStyle w:val="Footer"/>
            <w:tabs>
              <w:tab w:val="clear" w:pos="4320"/>
              <w:tab w:val="clear" w:pos="8640"/>
              <w:tab w:val="left" w:pos="2865"/>
            </w:tabs>
            <w:rPr>
              <w:rFonts w:ascii="Shruti" w:hAnsi="Shruti"/>
              <w:sz w:val="22"/>
            </w:rPr>
          </w:pPr>
          <w:r>
            <w:rPr>
              <w:rFonts w:ascii="Shruti" w:hAnsi="Shruti"/>
              <w:sz w:val="22"/>
            </w:rPr>
            <w:t>Substitute Document Number: 88R 30092</w:t>
          </w:r>
        </w:p>
      </w:tc>
      <w:tc>
        <w:tcPr>
          <w:tcW w:w="2453" w:type="pct"/>
        </w:tcPr>
        <w:p w14:paraId="4860E32D" w14:textId="77777777" w:rsidR="00EC379B" w:rsidRDefault="00EC379B" w:rsidP="006D504F">
          <w:pPr>
            <w:pStyle w:val="Footer"/>
            <w:rPr>
              <w:rStyle w:val="PageNumber"/>
            </w:rPr>
          </w:pPr>
        </w:p>
        <w:p w14:paraId="47F8181A" w14:textId="77777777" w:rsidR="00EC379B" w:rsidRDefault="00EC379B" w:rsidP="009C1E9A">
          <w:pPr>
            <w:pStyle w:val="Footer"/>
            <w:tabs>
              <w:tab w:val="clear" w:pos="8640"/>
              <w:tab w:val="right" w:pos="9360"/>
            </w:tabs>
            <w:jc w:val="right"/>
          </w:pPr>
        </w:p>
      </w:tc>
    </w:tr>
    <w:tr w:rsidR="00F53C92" w14:paraId="42B921CC" w14:textId="77777777" w:rsidTr="009C1E9A">
      <w:trPr>
        <w:cantSplit/>
        <w:trHeight w:val="323"/>
      </w:trPr>
      <w:tc>
        <w:tcPr>
          <w:tcW w:w="0" w:type="pct"/>
          <w:gridSpan w:val="3"/>
        </w:tcPr>
        <w:p w14:paraId="025A228E" w14:textId="77777777" w:rsidR="00EC379B" w:rsidRDefault="005D41B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EC4FAA" w14:textId="77777777" w:rsidR="00EC379B" w:rsidRDefault="00EC379B" w:rsidP="009C1E9A">
          <w:pPr>
            <w:pStyle w:val="Footer"/>
            <w:tabs>
              <w:tab w:val="clear" w:pos="8640"/>
              <w:tab w:val="right" w:pos="9360"/>
            </w:tabs>
            <w:jc w:val="center"/>
          </w:pPr>
        </w:p>
      </w:tc>
    </w:tr>
  </w:tbl>
  <w:p w14:paraId="5352755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91F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DB99" w14:textId="77777777" w:rsidR="00000000" w:rsidRDefault="005D41B4">
      <w:r>
        <w:separator/>
      </w:r>
    </w:p>
  </w:footnote>
  <w:footnote w:type="continuationSeparator" w:id="0">
    <w:p w14:paraId="4E131D63" w14:textId="77777777" w:rsidR="00000000" w:rsidRDefault="005D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124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44D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9AA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9C8"/>
    <w:multiLevelType w:val="hybridMultilevel"/>
    <w:tmpl w:val="EF368584"/>
    <w:lvl w:ilvl="0" w:tplc="A2E81D82">
      <w:start w:val="1"/>
      <w:numFmt w:val="bullet"/>
      <w:lvlText w:val=""/>
      <w:lvlJc w:val="left"/>
      <w:pPr>
        <w:tabs>
          <w:tab w:val="num" w:pos="720"/>
        </w:tabs>
        <w:ind w:left="720" w:hanging="360"/>
      </w:pPr>
      <w:rPr>
        <w:rFonts w:ascii="Symbol" w:hAnsi="Symbol" w:hint="default"/>
      </w:rPr>
    </w:lvl>
    <w:lvl w:ilvl="1" w:tplc="5946668C" w:tentative="1">
      <w:start w:val="1"/>
      <w:numFmt w:val="bullet"/>
      <w:lvlText w:val="o"/>
      <w:lvlJc w:val="left"/>
      <w:pPr>
        <w:ind w:left="1440" w:hanging="360"/>
      </w:pPr>
      <w:rPr>
        <w:rFonts w:ascii="Courier New" w:hAnsi="Courier New" w:cs="Courier New" w:hint="default"/>
      </w:rPr>
    </w:lvl>
    <w:lvl w:ilvl="2" w:tplc="6B7C1260" w:tentative="1">
      <w:start w:val="1"/>
      <w:numFmt w:val="bullet"/>
      <w:lvlText w:val=""/>
      <w:lvlJc w:val="left"/>
      <w:pPr>
        <w:ind w:left="2160" w:hanging="360"/>
      </w:pPr>
      <w:rPr>
        <w:rFonts w:ascii="Wingdings" w:hAnsi="Wingdings" w:hint="default"/>
      </w:rPr>
    </w:lvl>
    <w:lvl w:ilvl="3" w:tplc="3B98A086" w:tentative="1">
      <w:start w:val="1"/>
      <w:numFmt w:val="bullet"/>
      <w:lvlText w:val=""/>
      <w:lvlJc w:val="left"/>
      <w:pPr>
        <w:ind w:left="2880" w:hanging="360"/>
      </w:pPr>
      <w:rPr>
        <w:rFonts w:ascii="Symbol" w:hAnsi="Symbol" w:hint="default"/>
      </w:rPr>
    </w:lvl>
    <w:lvl w:ilvl="4" w:tplc="BD6A36D8" w:tentative="1">
      <w:start w:val="1"/>
      <w:numFmt w:val="bullet"/>
      <w:lvlText w:val="o"/>
      <w:lvlJc w:val="left"/>
      <w:pPr>
        <w:ind w:left="3600" w:hanging="360"/>
      </w:pPr>
      <w:rPr>
        <w:rFonts w:ascii="Courier New" w:hAnsi="Courier New" w:cs="Courier New" w:hint="default"/>
      </w:rPr>
    </w:lvl>
    <w:lvl w:ilvl="5" w:tplc="88BACB74" w:tentative="1">
      <w:start w:val="1"/>
      <w:numFmt w:val="bullet"/>
      <w:lvlText w:val=""/>
      <w:lvlJc w:val="left"/>
      <w:pPr>
        <w:ind w:left="4320" w:hanging="360"/>
      </w:pPr>
      <w:rPr>
        <w:rFonts w:ascii="Wingdings" w:hAnsi="Wingdings" w:hint="default"/>
      </w:rPr>
    </w:lvl>
    <w:lvl w:ilvl="6" w:tplc="BDC85802" w:tentative="1">
      <w:start w:val="1"/>
      <w:numFmt w:val="bullet"/>
      <w:lvlText w:val=""/>
      <w:lvlJc w:val="left"/>
      <w:pPr>
        <w:ind w:left="5040" w:hanging="360"/>
      </w:pPr>
      <w:rPr>
        <w:rFonts w:ascii="Symbol" w:hAnsi="Symbol" w:hint="default"/>
      </w:rPr>
    </w:lvl>
    <w:lvl w:ilvl="7" w:tplc="A4328ADC" w:tentative="1">
      <w:start w:val="1"/>
      <w:numFmt w:val="bullet"/>
      <w:lvlText w:val="o"/>
      <w:lvlJc w:val="left"/>
      <w:pPr>
        <w:ind w:left="5760" w:hanging="360"/>
      </w:pPr>
      <w:rPr>
        <w:rFonts w:ascii="Courier New" w:hAnsi="Courier New" w:cs="Courier New" w:hint="default"/>
      </w:rPr>
    </w:lvl>
    <w:lvl w:ilvl="8" w:tplc="AD948984" w:tentative="1">
      <w:start w:val="1"/>
      <w:numFmt w:val="bullet"/>
      <w:lvlText w:val=""/>
      <w:lvlJc w:val="left"/>
      <w:pPr>
        <w:ind w:left="6480" w:hanging="360"/>
      </w:pPr>
      <w:rPr>
        <w:rFonts w:ascii="Wingdings" w:hAnsi="Wingdings" w:hint="default"/>
      </w:rPr>
    </w:lvl>
  </w:abstractNum>
  <w:abstractNum w:abstractNumId="1" w15:restartNumberingAfterBreak="0">
    <w:nsid w:val="3E724E95"/>
    <w:multiLevelType w:val="hybridMultilevel"/>
    <w:tmpl w:val="D4B4BB4C"/>
    <w:lvl w:ilvl="0" w:tplc="2534976E">
      <w:start w:val="1"/>
      <w:numFmt w:val="bullet"/>
      <w:lvlText w:val=""/>
      <w:lvlJc w:val="left"/>
      <w:pPr>
        <w:tabs>
          <w:tab w:val="num" w:pos="720"/>
        </w:tabs>
        <w:ind w:left="720" w:hanging="360"/>
      </w:pPr>
      <w:rPr>
        <w:rFonts w:ascii="Symbol" w:hAnsi="Symbol" w:hint="default"/>
      </w:rPr>
    </w:lvl>
    <w:lvl w:ilvl="1" w:tplc="BB94BA30">
      <w:start w:val="1"/>
      <w:numFmt w:val="bullet"/>
      <w:lvlText w:val="o"/>
      <w:lvlJc w:val="left"/>
      <w:pPr>
        <w:ind w:left="1440" w:hanging="360"/>
      </w:pPr>
      <w:rPr>
        <w:rFonts w:ascii="Courier New" w:hAnsi="Courier New" w:cs="Courier New" w:hint="default"/>
      </w:rPr>
    </w:lvl>
    <w:lvl w:ilvl="2" w:tplc="4CF6F832">
      <w:start w:val="1"/>
      <w:numFmt w:val="bullet"/>
      <w:lvlText w:val=""/>
      <w:lvlJc w:val="left"/>
      <w:pPr>
        <w:ind w:left="2160" w:hanging="360"/>
      </w:pPr>
      <w:rPr>
        <w:rFonts w:ascii="Wingdings" w:hAnsi="Wingdings" w:hint="default"/>
      </w:rPr>
    </w:lvl>
    <w:lvl w:ilvl="3" w:tplc="5FD877A8">
      <w:start w:val="1"/>
      <w:numFmt w:val="bullet"/>
      <w:lvlText w:val=""/>
      <w:lvlJc w:val="left"/>
      <w:pPr>
        <w:ind w:left="2880" w:hanging="360"/>
      </w:pPr>
      <w:rPr>
        <w:rFonts w:ascii="Symbol" w:hAnsi="Symbol" w:hint="default"/>
      </w:rPr>
    </w:lvl>
    <w:lvl w:ilvl="4" w:tplc="FFECA1F8" w:tentative="1">
      <w:start w:val="1"/>
      <w:numFmt w:val="bullet"/>
      <w:lvlText w:val="o"/>
      <w:lvlJc w:val="left"/>
      <w:pPr>
        <w:ind w:left="3600" w:hanging="360"/>
      </w:pPr>
      <w:rPr>
        <w:rFonts w:ascii="Courier New" w:hAnsi="Courier New" w:cs="Courier New" w:hint="default"/>
      </w:rPr>
    </w:lvl>
    <w:lvl w:ilvl="5" w:tplc="53AC79D2" w:tentative="1">
      <w:start w:val="1"/>
      <w:numFmt w:val="bullet"/>
      <w:lvlText w:val=""/>
      <w:lvlJc w:val="left"/>
      <w:pPr>
        <w:ind w:left="4320" w:hanging="360"/>
      </w:pPr>
      <w:rPr>
        <w:rFonts w:ascii="Wingdings" w:hAnsi="Wingdings" w:hint="default"/>
      </w:rPr>
    </w:lvl>
    <w:lvl w:ilvl="6" w:tplc="FFBEE1E2" w:tentative="1">
      <w:start w:val="1"/>
      <w:numFmt w:val="bullet"/>
      <w:lvlText w:val=""/>
      <w:lvlJc w:val="left"/>
      <w:pPr>
        <w:ind w:left="5040" w:hanging="360"/>
      </w:pPr>
      <w:rPr>
        <w:rFonts w:ascii="Symbol" w:hAnsi="Symbol" w:hint="default"/>
      </w:rPr>
    </w:lvl>
    <w:lvl w:ilvl="7" w:tplc="3BB4DC14" w:tentative="1">
      <w:start w:val="1"/>
      <w:numFmt w:val="bullet"/>
      <w:lvlText w:val="o"/>
      <w:lvlJc w:val="left"/>
      <w:pPr>
        <w:ind w:left="5760" w:hanging="360"/>
      </w:pPr>
      <w:rPr>
        <w:rFonts w:ascii="Courier New" w:hAnsi="Courier New" w:cs="Courier New" w:hint="default"/>
      </w:rPr>
    </w:lvl>
    <w:lvl w:ilvl="8" w:tplc="6AFA76B6" w:tentative="1">
      <w:start w:val="1"/>
      <w:numFmt w:val="bullet"/>
      <w:lvlText w:val=""/>
      <w:lvlJc w:val="left"/>
      <w:pPr>
        <w:ind w:left="6480" w:hanging="360"/>
      </w:pPr>
      <w:rPr>
        <w:rFonts w:ascii="Wingdings" w:hAnsi="Wingdings" w:hint="default"/>
      </w:rPr>
    </w:lvl>
  </w:abstractNum>
  <w:abstractNum w:abstractNumId="2" w15:restartNumberingAfterBreak="0">
    <w:nsid w:val="47B113A0"/>
    <w:multiLevelType w:val="hybridMultilevel"/>
    <w:tmpl w:val="EE561D6A"/>
    <w:lvl w:ilvl="0" w:tplc="B21452C0">
      <w:start w:val="1"/>
      <w:numFmt w:val="decimal"/>
      <w:lvlText w:val="(%1)"/>
      <w:lvlJc w:val="left"/>
      <w:pPr>
        <w:ind w:left="765" w:hanging="405"/>
      </w:pPr>
      <w:rPr>
        <w:rFonts w:hint="default"/>
      </w:rPr>
    </w:lvl>
    <w:lvl w:ilvl="1" w:tplc="1F5E98C8">
      <w:start w:val="1"/>
      <w:numFmt w:val="upperLetter"/>
      <w:lvlText w:val="(%2)"/>
      <w:lvlJc w:val="left"/>
      <w:pPr>
        <w:ind w:left="1530" w:hanging="450"/>
      </w:pPr>
      <w:rPr>
        <w:rFonts w:hint="default"/>
      </w:rPr>
    </w:lvl>
    <w:lvl w:ilvl="2" w:tplc="CBF28F1C">
      <w:start w:val="1"/>
      <w:numFmt w:val="lowerRoman"/>
      <w:lvlText w:val="(%3)"/>
      <w:lvlJc w:val="left"/>
      <w:pPr>
        <w:ind w:left="2700" w:hanging="720"/>
      </w:pPr>
      <w:rPr>
        <w:rFonts w:hint="default"/>
      </w:rPr>
    </w:lvl>
    <w:lvl w:ilvl="3" w:tplc="91B8CFAC">
      <w:start w:val="1"/>
      <w:numFmt w:val="lowerLetter"/>
      <w:lvlText w:val="(%4)"/>
      <w:lvlJc w:val="left"/>
      <w:pPr>
        <w:ind w:left="2910" w:hanging="390"/>
      </w:pPr>
      <w:rPr>
        <w:rFonts w:hint="default"/>
      </w:rPr>
    </w:lvl>
    <w:lvl w:ilvl="4" w:tplc="7CEA91CA" w:tentative="1">
      <w:start w:val="1"/>
      <w:numFmt w:val="lowerLetter"/>
      <w:lvlText w:val="%5."/>
      <w:lvlJc w:val="left"/>
      <w:pPr>
        <w:ind w:left="3600" w:hanging="360"/>
      </w:pPr>
    </w:lvl>
    <w:lvl w:ilvl="5" w:tplc="6F883F36" w:tentative="1">
      <w:start w:val="1"/>
      <w:numFmt w:val="lowerRoman"/>
      <w:lvlText w:val="%6."/>
      <w:lvlJc w:val="right"/>
      <w:pPr>
        <w:ind w:left="4320" w:hanging="180"/>
      </w:pPr>
    </w:lvl>
    <w:lvl w:ilvl="6" w:tplc="744C2562" w:tentative="1">
      <w:start w:val="1"/>
      <w:numFmt w:val="decimal"/>
      <w:lvlText w:val="%7."/>
      <w:lvlJc w:val="left"/>
      <w:pPr>
        <w:ind w:left="5040" w:hanging="360"/>
      </w:pPr>
    </w:lvl>
    <w:lvl w:ilvl="7" w:tplc="809A13E2" w:tentative="1">
      <w:start w:val="1"/>
      <w:numFmt w:val="lowerLetter"/>
      <w:lvlText w:val="%8."/>
      <w:lvlJc w:val="left"/>
      <w:pPr>
        <w:ind w:left="5760" w:hanging="360"/>
      </w:pPr>
    </w:lvl>
    <w:lvl w:ilvl="8" w:tplc="134A68DC" w:tentative="1">
      <w:start w:val="1"/>
      <w:numFmt w:val="lowerRoman"/>
      <w:lvlText w:val="%9."/>
      <w:lvlJc w:val="right"/>
      <w:pPr>
        <w:ind w:left="6480" w:hanging="180"/>
      </w:pPr>
    </w:lvl>
  </w:abstractNum>
  <w:abstractNum w:abstractNumId="3" w15:restartNumberingAfterBreak="0">
    <w:nsid w:val="5B050768"/>
    <w:multiLevelType w:val="hybridMultilevel"/>
    <w:tmpl w:val="B6B6EE10"/>
    <w:lvl w:ilvl="0" w:tplc="0E842856">
      <w:start w:val="1"/>
      <w:numFmt w:val="bullet"/>
      <w:lvlText w:val=""/>
      <w:lvlJc w:val="left"/>
      <w:pPr>
        <w:tabs>
          <w:tab w:val="num" w:pos="720"/>
        </w:tabs>
        <w:ind w:left="720" w:hanging="360"/>
      </w:pPr>
      <w:rPr>
        <w:rFonts w:ascii="Symbol" w:hAnsi="Symbol" w:hint="default"/>
      </w:rPr>
    </w:lvl>
    <w:lvl w:ilvl="1" w:tplc="EEAE1A8C" w:tentative="1">
      <w:start w:val="1"/>
      <w:numFmt w:val="bullet"/>
      <w:lvlText w:val="o"/>
      <w:lvlJc w:val="left"/>
      <w:pPr>
        <w:ind w:left="1440" w:hanging="360"/>
      </w:pPr>
      <w:rPr>
        <w:rFonts w:ascii="Courier New" w:hAnsi="Courier New" w:cs="Courier New" w:hint="default"/>
      </w:rPr>
    </w:lvl>
    <w:lvl w:ilvl="2" w:tplc="CDC0D2FE" w:tentative="1">
      <w:start w:val="1"/>
      <w:numFmt w:val="bullet"/>
      <w:lvlText w:val=""/>
      <w:lvlJc w:val="left"/>
      <w:pPr>
        <w:ind w:left="2160" w:hanging="360"/>
      </w:pPr>
      <w:rPr>
        <w:rFonts w:ascii="Wingdings" w:hAnsi="Wingdings" w:hint="default"/>
      </w:rPr>
    </w:lvl>
    <w:lvl w:ilvl="3" w:tplc="010C95E6" w:tentative="1">
      <w:start w:val="1"/>
      <w:numFmt w:val="bullet"/>
      <w:lvlText w:val=""/>
      <w:lvlJc w:val="left"/>
      <w:pPr>
        <w:ind w:left="2880" w:hanging="360"/>
      </w:pPr>
      <w:rPr>
        <w:rFonts w:ascii="Symbol" w:hAnsi="Symbol" w:hint="default"/>
      </w:rPr>
    </w:lvl>
    <w:lvl w:ilvl="4" w:tplc="21CCF5B4" w:tentative="1">
      <w:start w:val="1"/>
      <w:numFmt w:val="bullet"/>
      <w:lvlText w:val="o"/>
      <w:lvlJc w:val="left"/>
      <w:pPr>
        <w:ind w:left="3600" w:hanging="360"/>
      </w:pPr>
      <w:rPr>
        <w:rFonts w:ascii="Courier New" w:hAnsi="Courier New" w:cs="Courier New" w:hint="default"/>
      </w:rPr>
    </w:lvl>
    <w:lvl w:ilvl="5" w:tplc="9244DD00" w:tentative="1">
      <w:start w:val="1"/>
      <w:numFmt w:val="bullet"/>
      <w:lvlText w:val=""/>
      <w:lvlJc w:val="left"/>
      <w:pPr>
        <w:ind w:left="4320" w:hanging="360"/>
      </w:pPr>
      <w:rPr>
        <w:rFonts w:ascii="Wingdings" w:hAnsi="Wingdings" w:hint="default"/>
      </w:rPr>
    </w:lvl>
    <w:lvl w:ilvl="6" w:tplc="DCE25BCC" w:tentative="1">
      <w:start w:val="1"/>
      <w:numFmt w:val="bullet"/>
      <w:lvlText w:val=""/>
      <w:lvlJc w:val="left"/>
      <w:pPr>
        <w:ind w:left="5040" w:hanging="360"/>
      </w:pPr>
      <w:rPr>
        <w:rFonts w:ascii="Symbol" w:hAnsi="Symbol" w:hint="default"/>
      </w:rPr>
    </w:lvl>
    <w:lvl w:ilvl="7" w:tplc="3D425622" w:tentative="1">
      <w:start w:val="1"/>
      <w:numFmt w:val="bullet"/>
      <w:lvlText w:val="o"/>
      <w:lvlJc w:val="left"/>
      <w:pPr>
        <w:ind w:left="5760" w:hanging="360"/>
      </w:pPr>
      <w:rPr>
        <w:rFonts w:ascii="Courier New" w:hAnsi="Courier New" w:cs="Courier New" w:hint="default"/>
      </w:rPr>
    </w:lvl>
    <w:lvl w:ilvl="8" w:tplc="EB1066D8" w:tentative="1">
      <w:start w:val="1"/>
      <w:numFmt w:val="bullet"/>
      <w:lvlText w:val=""/>
      <w:lvlJc w:val="left"/>
      <w:pPr>
        <w:ind w:left="6480" w:hanging="360"/>
      </w:pPr>
      <w:rPr>
        <w:rFonts w:ascii="Wingdings" w:hAnsi="Wingdings" w:hint="default"/>
      </w:rPr>
    </w:lvl>
  </w:abstractNum>
  <w:abstractNum w:abstractNumId="4" w15:restartNumberingAfterBreak="0">
    <w:nsid w:val="66D00F59"/>
    <w:multiLevelType w:val="hybridMultilevel"/>
    <w:tmpl w:val="F34EB106"/>
    <w:lvl w:ilvl="0" w:tplc="78829B6C">
      <w:start w:val="1"/>
      <w:numFmt w:val="bullet"/>
      <w:lvlText w:val=""/>
      <w:lvlJc w:val="left"/>
      <w:pPr>
        <w:tabs>
          <w:tab w:val="num" w:pos="720"/>
        </w:tabs>
        <w:ind w:left="720" w:hanging="360"/>
      </w:pPr>
      <w:rPr>
        <w:rFonts w:ascii="Symbol" w:hAnsi="Symbol" w:hint="default"/>
      </w:rPr>
    </w:lvl>
    <w:lvl w:ilvl="1" w:tplc="134454FC" w:tentative="1">
      <w:start w:val="1"/>
      <w:numFmt w:val="bullet"/>
      <w:lvlText w:val="o"/>
      <w:lvlJc w:val="left"/>
      <w:pPr>
        <w:ind w:left="1440" w:hanging="360"/>
      </w:pPr>
      <w:rPr>
        <w:rFonts w:ascii="Courier New" w:hAnsi="Courier New" w:cs="Courier New" w:hint="default"/>
      </w:rPr>
    </w:lvl>
    <w:lvl w:ilvl="2" w:tplc="9AF8965C" w:tentative="1">
      <w:start w:val="1"/>
      <w:numFmt w:val="bullet"/>
      <w:lvlText w:val=""/>
      <w:lvlJc w:val="left"/>
      <w:pPr>
        <w:ind w:left="2160" w:hanging="360"/>
      </w:pPr>
      <w:rPr>
        <w:rFonts w:ascii="Wingdings" w:hAnsi="Wingdings" w:hint="default"/>
      </w:rPr>
    </w:lvl>
    <w:lvl w:ilvl="3" w:tplc="B0D8D322" w:tentative="1">
      <w:start w:val="1"/>
      <w:numFmt w:val="bullet"/>
      <w:lvlText w:val=""/>
      <w:lvlJc w:val="left"/>
      <w:pPr>
        <w:ind w:left="2880" w:hanging="360"/>
      </w:pPr>
      <w:rPr>
        <w:rFonts w:ascii="Symbol" w:hAnsi="Symbol" w:hint="default"/>
      </w:rPr>
    </w:lvl>
    <w:lvl w:ilvl="4" w:tplc="7E2E0B40" w:tentative="1">
      <w:start w:val="1"/>
      <w:numFmt w:val="bullet"/>
      <w:lvlText w:val="o"/>
      <w:lvlJc w:val="left"/>
      <w:pPr>
        <w:ind w:left="3600" w:hanging="360"/>
      </w:pPr>
      <w:rPr>
        <w:rFonts w:ascii="Courier New" w:hAnsi="Courier New" w:cs="Courier New" w:hint="default"/>
      </w:rPr>
    </w:lvl>
    <w:lvl w:ilvl="5" w:tplc="06FADFB6" w:tentative="1">
      <w:start w:val="1"/>
      <w:numFmt w:val="bullet"/>
      <w:lvlText w:val=""/>
      <w:lvlJc w:val="left"/>
      <w:pPr>
        <w:ind w:left="4320" w:hanging="360"/>
      </w:pPr>
      <w:rPr>
        <w:rFonts w:ascii="Wingdings" w:hAnsi="Wingdings" w:hint="default"/>
      </w:rPr>
    </w:lvl>
    <w:lvl w:ilvl="6" w:tplc="D660DC9C" w:tentative="1">
      <w:start w:val="1"/>
      <w:numFmt w:val="bullet"/>
      <w:lvlText w:val=""/>
      <w:lvlJc w:val="left"/>
      <w:pPr>
        <w:ind w:left="5040" w:hanging="360"/>
      </w:pPr>
      <w:rPr>
        <w:rFonts w:ascii="Symbol" w:hAnsi="Symbol" w:hint="default"/>
      </w:rPr>
    </w:lvl>
    <w:lvl w:ilvl="7" w:tplc="019AC2AC" w:tentative="1">
      <w:start w:val="1"/>
      <w:numFmt w:val="bullet"/>
      <w:lvlText w:val="o"/>
      <w:lvlJc w:val="left"/>
      <w:pPr>
        <w:ind w:left="5760" w:hanging="360"/>
      </w:pPr>
      <w:rPr>
        <w:rFonts w:ascii="Courier New" w:hAnsi="Courier New" w:cs="Courier New" w:hint="default"/>
      </w:rPr>
    </w:lvl>
    <w:lvl w:ilvl="8" w:tplc="E4902626" w:tentative="1">
      <w:start w:val="1"/>
      <w:numFmt w:val="bullet"/>
      <w:lvlText w:val=""/>
      <w:lvlJc w:val="left"/>
      <w:pPr>
        <w:ind w:left="6480" w:hanging="360"/>
      </w:pPr>
      <w:rPr>
        <w:rFonts w:ascii="Wingdings" w:hAnsi="Wingdings" w:hint="default"/>
      </w:rPr>
    </w:lvl>
  </w:abstractNum>
  <w:num w:numId="1" w16cid:durableId="75131434">
    <w:abstractNumId w:val="3"/>
  </w:num>
  <w:num w:numId="2" w16cid:durableId="1632713754">
    <w:abstractNumId w:val="1"/>
  </w:num>
  <w:num w:numId="3" w16cid:durableId="1430588936">
    <w:abstractNumId w:val="2"/>
  </w:num>
  <w:num w:numId="4" w16cid:durableId="583026764">
    <w:abstractNumId w:val="0"/>
  </w:num>
  <w:num w:numId="5" w16cid:durableId="42003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3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17E"/>
    <w:rsid w:val="00064BF2"/>
    <w:rsid w:val="000667BA"/>
    <w:rsid w:val="000676A7"/>
    <w:rsid w:val="00067991"/>
    <w:rsid w:val="00073914"/>
    <w:rsid w:val="00074236"/>
    <w:rsid w:val="000746BD"/>
    <w:rsid w:val="00076D7D"/>
    <w:rsid w:val="00080D95"/>
    <w:rsid w:val="00090E6B"/>
    <w:rsid w:val="00091B2C"/>
    <w:rsid w:val="00092ABC"/>
    <w:rsid w:val="00096948"/>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223"/>
    <w:rsid w:val="0011274A"/>
    <w:rsid w:val="00113522"/>
    <w:rsid w:val="0011378D"/>
    <w:rsid w:val="00115EE9"/>
    <w:rsid w:val="00116147"/>
    <w:rsid w:val="001169F9"/>
    <w:rsid w:val="00120797"/>
    <w:rsid w:val="001218D2"/>
    <w:rsid w:val="0012211F"/>
    <w:rsid w:val="0012371B"/>
    <w:rsid w:val="001245C8"/>
    <w:rsid w:val="00124653"/>
    <w:rsid w:val="001247C5"/>
    <w:rsid w:val="001262C8"/>
    <w:rsid w:val="00127893"/>
    <w:rsid w:val="001312BB"/>
    <w:rsid w:val="00137D90"/>
    <w:rsid w:val="00141FB6"/>
    <w:rsid w:val="00142F8E"/>
    <w:rsid w:val="00143C8B"/>
    <w:rsid w:val="00143EB7"/>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E0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5BB"/>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78D"/>
    <w:rsid w:val="002A0F4A"/>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D63"/>
    <w:rsid w:val="00333930"/>
    <w:rsid w:val="00336BA4"/>
    <w:rsid w:val="00336C7A"/>
    <w:rsid w:val="00337392"/>
    <w:rsid w:val="00337659"/>
    <w:rsid w:val="003427C9"/>
    <w:rsid w:val="00343A92"/>
    <w:rsid w:val="00344530"/>
    <w:rsid w:val="003446DC"/>
    <w:rsid w:val="00347B4A"/>
    <w:rsid w:val="00347FF0"/>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A1F"/>
    <w:rsid w:val="003847E8"/>
    <w:rsid w:val="0038731D"/>
    <w:rsid w:val="00387B60"/>
    <w:rsid w:val="00390098"/>
    <w:rsid w:val="00392DA1"/>
    <w:rsid w:val="00393718"/>
    <w:rsid w:val="003A0296"/>
    <w:rsid w:val="003A10BC"/>
    <w:rsid w:val="003B1501"/>
    <w:rsid w:val="003B16A5"/>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6F9"/>
    <w:rsid w:val="003D5CF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0CF6"/>
    <w:rsid w:val="00411751"/>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8B0"/>
    <w:rsid w:val="004732C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4C5"/>
    <w:rsid w:val="004B576C"/>
    <w:rsid w:val="004B772A"/>
    <w:rsid w:val="004B79DE"/>
    <w:rsid w:val="004C302F"/>
    <w:rsid w:val="004C31C8"/>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BD7"/>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1FF"/>
    <w:rsid w:val="00555034"/>
    <w:rsid w:val="005570D2"/>
    <w:rsid w:val="00561528"/>
    <w:rsid w:val="0056153F"/>
    <w:rsid w:val="00561B14"/>
    <w:rsid w:val="00562C87"/>
    <w:rsid w:val="005636BD"/>
    <w:rsid w:val="005666D5"/>
    <w:rsid w:val="005669A7"/>
    <w:rsid w:val="005725C2"/>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1B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198"/>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9CF"/>
    <w:rsid w:val="006D3005"/>
    <w:rsid w:val="006D504F"/>
    <w:rsid w:val="006E0CAC"/>
    <w:rsid w:val="006E1CFB"/>
    <w:rsid w:val="006E1F94"/>
    <w:rsid w:val="006E26C1"/>
    <w:rsid w:val="006E30A8"/>
    <w:rsid w:val="006E45B0"/>
    <w:rsid w:val="006E5692"/>
    <w:rsid w:val="006F365D"/>
    <w:rsid w:val="006F4BB0"/>
    <w:rsid w:val="00701DD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17F"/>
    <w:rsid w:val="0075287B"/>
    <w:rsid w:val="00755C7B"/>
    <w:rsid w:val="00764786"/>
    <w:rsid w:val="00766E12"/>
    <w:rsid w:val="0077098E"/>
    <w:rsid w:val="00771287"/>
    <w:rsid w:val="0077149E"/>
    <w:rsid w:val="0077567A"/>
    <w:rsid w:val="00775FF6"/>
    <w:rsid w:val="00777518"/>
    <w:rsid w:val="0077779E"/>
    <w:rsid w:val="00780FB6"/>
    <w:rsid w:val="0078552A"/>
    <w:rsid w:val="00785729"/>
    <w:rsid w:val="00786058"/>
    <w:rsid w:val="0079487D"/>
    <w:rsid w:val="00794A11"/>
    <w:rsid w:val="007966D4"/>
    <w:rsid w:val="00796A0A"/>
    <w:rsid w:val="0079792C"/>
    <w:rsid w:val="007A0989"/>
    <w:rsid w:val="007A331F"/>
    <w:rsid w:val="007A3844"/>
    <w:rsid w:val="007A4381"/>
    <w:rsid w:val="007A5466"/>
    <w:rsid w:val="007A7EC1"/>
    <w:rsid w:val="007B4FCA"/>
    <w:rsid w:val="007B7B85"/>
    <w:rsid w:val="007C190E"/>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4CF"/>
    <w:rsid w:val="0084176D"/>
    <w:rsid w:val="008423E4"/>
    <w:rsid w:val="00842900"/>
    <w:rsid w:val="008451FC"/>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722"/>
    <w:rsid w:val="00897854"/>
    <w:rsid w:val="00897E80"/>
    <w:rsid w:val="008A04FA"/>
    <w:rsid w:val="008A3188"/>
    <w:rsid w:val="008A3FDF"/>
    <w:rsid w:val="008A6418"/>
    <w:rsid w:val="008B05D8"/>
    <w:rsid w:val="008B0B3D"/>
    <w:rsid w:val="008B2B1A"/>
    <w:rsid w:val="008B3428"/>
    <w:rsid w:val="008B4A91"/>
    <w:rsid w:val="008B7785"/>
    <w:rsid w:val="008B79AD"/>
    <w:rsid w:val="008B79F2"/>
    <w:rsid w:val="008C0809"/>
    <w:rsid w:val="008C132C"/>
    <w:rsid w:val="008C3FD0"/>
    <w:rsid w:val="008D27A5"/>
    <w:rsid w:val="008D2AAB"/>
    <w:rsid w:val="008D309C"/>
    <w:rsid w:val="008D58F9"/>
    <w:rsid w:val="008D7427"/>
    <w:rsid w:val="008E0930"/>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675"/>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C64"/>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289"/>
    <w:rsid w:val="00A41085"/>
    <w:rsid w:val="00A425FA"/>
    <w:rsid w:val="00A43960"/>
    <w:rsid w:val="00A46902"/>
    <w:rsid w:val="00A50150"/>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3C7D"/>
    <w:rsid w:val="00A932BB"/>
    <w:rsid w:val="00A93579"/>
    <w:rsid w:val="00A93934"/>
    <w:rsid w:val="00A95D51"/>
    <w:rsid w:val="00A9686E"/>
    <w:rsid w:val="00AA18AE"/>
    <w:rsid w:val="00AA228B"/>
    <w:rsid w:val="00AA3104"/>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E1C"/>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FF1"/>
    <w:rsid w:val="00BA146A"/>
    <w:rsid w:val="00BA32EE"/>
    <w:rsid w:val="00BB5B36"/>
    <w:rsid w:val="00BC027B"/>
    <w:rsid w:val="00BC30A6"/>
    <w:rsid w:val="00BC3114"/>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802"/>
    <w:rsid w:val="00C040AB"/>
    <w:rsid w:val="00C0499B"/>
    <w:rsid w:val="00C05406"/>
    <w:rsid w:val="00C05CF0"/>
    <w:rsid w:val="00C119AC"/>
    <w:rsid w:val="00C14EE6"/>
    <w:rsid w:val="00C151DA"/>
    <w:rsid w:val="00C152A1"/>
    <w:rsid w:val="00C16CCB"/>
    <w:rsid w:val="00C2142B"/>
    <w:rsid w:val="00C22987"/>
    <w:rsid w:val="00C23956"/>
    <w:rsid w:val="00C248E6"/>
    <w:rsid w:val="00C273C8"/>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7AA"/>
    <w:rsid w:val="00CB74CB"/>
    <w:rsid w:val="00CB7E04"/>
    <w:rsid w:val="00CC24B7"/>
    <w:rsid w:val="00CC7131"/>
    <w:rsid w:val="00CC7B9E"/>
    <w:rsid w:val="00CD06CA"/>
    <w:rsid w:val="00CD076A"/>
    <w:rsid w:val="00CD180C"/>
    <w:rsid w:val="00CD37DA"/>
    <w:rsid w:val="00CD41CC"/>
    <w:rsid w:val="00CD4F2C"/>
    <w:rsid w:val="00CD731C"/>
    <w:rsid w:val="00CE08E8"/>
    <w:rsid w:val="00CE2133"/>
    <w:rsid w:val="00CE245D"/>
    <w:rsid w:val="00CE300F"/>
    <w:rsid w:val="00CE3582"/>
    <w:rsid w:val="00CE3795"/>
    <w:rsid w:val="00CE3E20"/>
    <w:rsid w:val="00CE718F"/>
    <w:rsid w:val="00CF4827"/>
    <w:rsid w:val="00CF4C69"/>
    <w:rsid w:val="00CF581C"/>
    <w:rsid w:val="00CF71E0"/>
    <w:rsid w:val="00D001B1"/>
    <w:rsid w:val="00D03176"/>
    <w:rsid w:val="00D059DD"/>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46A"/>
    <w:rsid w:val="00D730FA"/>
    <w:rsid w:val="00D76631"/>
    <w:rsid w:val="00D768B7"/>
    <w:rsid w:val="00D77492"/>
    <w:rsid w:val="00D811E8"/>
    <w:rsid w:val="00D81A44"/>
    <w:rsid w:val="00D83072"/>
    <w:rsid w:val="00D83ABC"/>
    <w:rsid w:val="00D84870"/>
    <w:rsid w:val="00D9118C"/>
    <w:rsid w:val="00D91B92"/>
    <w:rsid w:val="00D926B3"/>
    <w:rsid w:val="00D92F63"/>
    <w:rsid w:val="00D947B6"/>
    <w:rsid w:val="00D94A53"/>
    <w:rsid w:val="00D97E00"/>
    <w:rsid w:val="00DA00BC"/>
    <w:rsid w:val="00DA059A"/>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E5A"/>
    <w:rsid w:val="00DD128C"/>
    <w:rsid w:val="00DD1B8F"/>
    <w:rsid w:val="00DD5BCC"/>
    <w:rsid w:val="00DD7509"/>
    <w:rsid w:val="00DD79C7"/>
    <w:rsid w:val="00DD7D6E"/>
    <w:rsid w:val="00DE34B2"/>
    <w:rsid w:val="00DE49DE"/>
    <w:rsid w:val="00DE5983"/>
    <w:rsid w:val="00DE618B"/>
    <w:rsid w:val="00DE6EC2"/>
    <w:rsid w:val="00DF0834"/>
    <w:rsid w:val="00DF0873"/>
    <w:rsid w:val="00DF24E7"/>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437"/>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843"/>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82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ACB"/>
    <w:rsid w:val="00F15223"/>
    <w:rsid w:val="00F164B4"/>
    <w:rsid w:val="00F176E4"/>
    <w:rsid w:val="00F20E5F"/>
    <w:rsid w:val="00F2549F"/>
    <w:rsid w:val="00F25C26"/>
    <w:rsid w:val="00F25CC2"/>
    <w:rsid w:val="00F27573"/>
    <w:rsid w:val="00F307B6"/>
    <w:rsid w:val="00F30EB8"/>
    <w:rsid w:val="00F31876"/>
    <w:rsid w:val="00F31C67"/>
    <w:rsid w:val="00F36FE0"/>
    <w:rsid w:val="00F37EA8"/>
    <w:rsid w:val="00F40B14"/>
    <w:rsid w:val="00F41186"/>
    <w:rsid w:val="00F41823"/>
    <w:rsid w:val="00F41EEF"/>
    <w:rsid w:val="00F41FAC"/>
    <w:rsid w:val="00F420C6"/>
    <w:rsid w:val="00F423D3"/>
    <w:rsid w:val="00F44349"/>
    <w:rsid w:val="00F4569E"/>
    <w:rsid w:val="00F45AFC"/>
    <w:rsid w:val="00F462F4"/>
    <w:rsid w:val="00F50130"/>
    <w:rsid w:val="00F512D9"/>
    <w:rsid w:val="00F52402"/>
    <w:rsid w:val="00F53C92"/>
    <w:rsid w:val="00F5605D"/>
    <w:rsid w:val="00F56BAD"/>
    <w:rsid w:val="00F56E2C"/>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009"/>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C3AF36-3901-4F6F-8F6C-45091F3B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D8"/>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6317E"/>
    <w:rPr>
      <w:sz w:val="16"/>
      <w:szCs w:val="16"/>
    </w:rPr>
  </w:style>
  <w:style w:type="paragraph" w:styleId="CommentText">
    <w:name w:val="annotation text"/>
    <w:basedOn w:val="Normal"/>
    <w:link w:val="CommentTextChar"/>
    <w:semiHidden/>
    <w:unhideWhenUsed/>
    <w:rsid w:val="0006317E"/>
    <w:rPr>
      <w:sz w:val="20"/>
      <w:szCs w:val="20"/>
    </w:rPr>
  </w:style>
  <w:style w:type="character" w:customStyle="1" w:styleId="CommentTextChar">
    <w:name w:val="Comment Text Char"/>
    <w:basedOn w:val="DefaultParagraphFont"/>
    <w:link w:val="CommentText"/>
    <w:semiHidden/>
    <w:rsid w:val="0006317E"/>
  </w:style>
  <w:style w:type="paragraph" w:styleId="CommentSubject">
    <w:name w:val="annotation subject"/>
    <w:basedOn w:val="CommentText"/>
    <w:next w:val="CommentText"/>
    <w:link w:val="CommentSubjectChar"/>
    <w:semiHidden/>
    <w:unhideWhenUsed/>
    <w:rsid w:val="0006317E"/>
    <w:rPr>
      <w:b/>
      <w:bCs/>
    </w:rPr>
  </w:style>
  <w:style w:type="character" w:customStyle="1" w:styleId="CommentSubjectChar">
    <w:name w:val="Comment Subject Char"/>
    <w:basedOn w:val="CommentTextChar"/>
    <w:link w:val="CommentSubject"/>
    <w:semiHidden/>
    <w:rsid w:val="0006317E"/>
    <w:rPr>
      <w:b/>
      <w:bCs/>
    </w:rPr>
  </w:style>
  <w:style w:type="paragraph" w:styleId="Revision">
    <w:name w:val="Revision"/>
    <w:hidden/>
    <w:uiPriority w:val="99"/>
    <w:semiHidden/>
    <w:rsid w:val="00A07C64"/>
    <w:rPr>
      <w:sz w:val="24"/>
      <w:szCs w:val="24"/>
    </w:rPr>
  </w:style>
  <w:style w:type="paragraph" w:styleId="ListParagraph">
    <w:name w:val="List Paragraph"/>
    <w:basedOn w:val="Normal"/>
    <w:uiPriority w:val="34"/>
    <w:qFormat/>
    <w:rsid w:val="00AA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7620</Characters>
  <Application>Microsoft Office Word</Application>
  <DocSecurity>4</DocSecurity>
  <Lines>151</Lines>
  <Paragraphs>41</Paragraphs>
  <ScaleCrop>false</ScaleCrop>
  <HeadingPairs>
    <vt:vector size="2" baseType="variant">
      <vt:variant>
        <vt:lpstr>Title</vt:lpstr>
      </vt:variant>
      <vt:variant>
        <vt:i4>1</vt:i4>
      </vt:variant>
    </vt:vector>
  </HeadingPairs>
  <TitlesOfParts>
    <vt:vector size="1" baseType="lpstr">
      <vt:lpstr>BA - SJR00044 (Committee Report (Substituted))</vt:lpstr>
    </vt:vector>
  </TitlesOfParts>
  <Company>State of Texas</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31943</dc:subject>
  <dc:creator>State of Texas</dc:creator>
  <dc:description>SJR 44 by Huffman-(H)Criminal Jurisprudence (Substitute Document Number: 88R 30092)</dc:description>
  <cp:lastModifiedBy>Damian Duarte</cp:lastModifiedBy>
  <cp:revision>2</cp:revision>
  <cp:lastPrinted>2003-11-26T17:21:00Z</cp:lastPrinted>
  <dcterms:created xsi:type="dcterms:W3CDTF">2023-05-20T21:54:00Z</dcterms:created>
  <dcterms:modified xsi:type="dcterms:W3CDTF">2023-05-20T21:54:00Z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23.140.632</vt:lpwstr>
  </property>
</Properties>
</file>