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23EB7" w14:paraId="7003C1A2" w14:textId="77777777" w:rsidTr="00345119">
        <w:tc>
          <w:tcPr>
            <w:tcW w:w="9576" w:type="dxa"/>
            <w:noWrap/>
          </w:tcPr>
          <w:p w14:paraId="3FE930D9" w14:textId="77777777" w:rsidR="008423E4" w:rsidRPr="0022177D" w:rsidRDefault="00F04094" w:rsidP="00F311D7">
            <w:pPr>
              <w:pStyle w:val="Heading1"/>
            </w:pPr>
            <w:r>
              <w:t>RESOLUTION ANALYSIS</w:t>
            </w:r>
          </w:p>
        </w:tc>
      </w:tr>
    </w:tbl>
    <w:p w14:paraId="5B2844A8" w14:textId="77777777" w:rsidR="008423E4" w:rsidRPr="0022177D" w:rsidRDefault="008423E4" w:rsidP="00F311D7">
      <w:pPr>
        <w:jc w:val="center"/>
      </w:pPr>
    </w:p>
    <w:p w14:paraId="32DED4F2" w14:textId="77777777" w:rsidR="008423E4" w:rsidRPr="00B31F0E" w:rsidRDefault="008423E4" w:rsidP="00F311D7"/>
    <w:p w14:paraId="299C21AE" w14:textId="77777777" w:rsidR="008423E4" w:rsidRPr="00742794" w:rsidRDefault="008423E4" w:rsidP="00F311D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3EB7" w14:paraId="4C0F2085" w14:textId="77777777" w:rsidTr="00345119">
        <w:tc>
          <w:tcPr>
            <w:tcW w:w="9576" w:type="dxa"/>
          </w:tcPr>
          <w:p w14:paraId="65C4DAEA" w14:textId="77777777" w:rsidR="008423E4" w:rsidRPr="00861995" w:rsidRDefault="00F04094" w:rsidP="00F311D7">
            <w:pPr>
              <w:jc w:val="right"/>
            </w:pPr>
            <w:r>
              <w:t>C.S.S.J.R. 74</w:t>
            </w:r>
          </w:p>
        </w:tc>
      </w:tr>
      <w:tr w:rsidR="00C23EB7" w14:paraId="145FACE6" w14:textId="77777777" w:rsidTr="00345119">
        <w:tc>
          <w:tcPr>
            <w:tcW w:w="9576" w:type="dxa"/>
          </w:tcPr>
          <w:p w14:paraId="7B5F5C2A" w14:textId="77777777" w:rsidR="008423E4" w:rsidRPr="00861995" w:rsidRDefault="00F04094" w:rsidP="00F311D7">
            <w:pPr>
              <w:jc w:val="right"/>
            </w:pPr>
            <w:r>
              <w:t xml:space="preserve">By: </w:t>
            </w:r>
            <w:r w:rsidR="006874FB">
              <w:t>Parker</w:t>
            </w:r>
          </w:p>
        </w:tc>
      </w:tr>
      <w:tr w:rsidR="00C23EB7" w14:paraId="71B523AD" w14:textId="77777777" w:rsidTr="00345119">
        <w:tc>
          <w:tcPr>
            <w:tcW w:w="9576" w:type="dxa"/>
          </w:tcPr>
          <w:p w14:paraId="3578ADED" w14:textId="77777777" w:rsidR="008423E4" w:rsidRPr="00861995" w:rsidRDefault="00F04094" w:rsidP="00F311D7">
            <w:pPr>
              <w:jc w:val="right"/>
            </w:pPr>
            <w:r>
              <w:t>Culture, Recreation &amp; Tourism</w:t>
            </w:r>
          </w:p>
        </w:tc>
      </w:tr>
      <w:tr w:rsidR="00C23EB7" w14:paraId="5F0B917C" w14:textId="77777777" w:rsidTr="00345119">
        <w:tc>
          <w:tcPr>
            <w:tcW w:w="9576" w:type="dxa"/>
          </w:tcPr>
          <w:p w14:paraId="4D26A818" w14:textId="77777777" w:rsidR="008423E4" w:rsidRDefault="00F04094" w:rsidP="00F311D7">
            <w:pPr>
              <w:jc w:val="right"/>
            </w:pPr>
            <w:r>
              <w:t>Committee Report (Substituted)</w:t>
            </w:r>
          </w:p>
        </w:tc>
      </w:tr>
    </w:tbl>
    <w:p w14:paraId="59D92A0C" w14:textId="77777777" w:rsidR="008423E4" w:rsidRDefault="008423E4" w:rsidP="00F311D7">
      <w:pPr>
        <w:tabs>
          <w:tab w:val="right" w:pos="9360"/>
        </w:tabs>
      </w:pPr>
    </w:p>
    <w:p w14:paraId="7B2EECB1" w14:textId="77777777" w:rsidR="008423E4" w:rsidRDefault="008423E4" w:rsidP="00F311D7"/>
    <w:p w14:paraId="523B3670" w14:textId="77777777" w:rsidR="008423E4" w:rsidRDefault="008423E4" w:rsidP="00F311D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23EB7" w14:paraId="7CB1BD19" w14:textId="77777777" w:rsidTr="00345119">
        <w:tc>
          <w:tcPr>
            <w:tcW w:w="9576" w:type="dxa"/>
          </w:tcPr>
          <w:p w14:paraId="44A45582" w14:textId="77777777" w:rsidR="008423E4" w:rsidRPr="00A8133F" w:rsidRDefault="00F04094" w:rsidP="00F311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712880" w14:textId="77777777" w:rsidR="008423E4" w:rsidRDefault="008423E4" w:rsidP="00F311D7"/>
          <w:p w14:paraId="632BB341" w14:textId="7F572737" w:rsidR="008423E4" w:rsidRDefault="00F04094" w:rsidP="00F311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</w:t>
            </w:r>
            <w:r w:rsidR="00127A1E">
              <w:t>the</w:t>
            </w:r>
            <w:r>
              <w:t xml:space="preserve"> Parks and Wildlife</w:t>
            </w:r>
            <w:r w:rsidR="00127A1E">
              <w:t xml:space="preserve"> Department (TPWD)</w:t>
            </w:r>
            <w:r>
              <w:t xml:space="preserve"> leases</w:t>
            </w:r>
            <w:r w:rsidR="00127A1E">
              <w:t xml:space="preserve">, </w:t>
            </w:r>
            <w:r>
              <w:t>or partially leases</w:t>
            </w:r>
            <w:r w:rsidR="00127A1E">
              <w:t>,</w:t>
            </w:r>
            <w:r>
              <w:t xml:space="preserve"> land from private corporations to create certain state parks. </w:t>
            </w:r>
            <w:r w:rsidR="00127A1E">
              <w:t>As a result</w:t>
            </w:r>
            <w:r>
              <w:t xml:space="preserve">, there have been incidents </w:t>
            </w:r>
            <w:r w:rsidR="00127A1E">
              <w:t>where</w:t>
            </w:r>
            <w:r>
              <w:t xml:space="preserve"> land leased by the state for a park was sold to a private entity, shutting down the park in the process. If the state had a dedicated fund to use fo</w:t>
            </w:r>
            <w:r>
              <w:t xml:space="preserve">r purchasing new land, </w:t>
            </w:r>
            <w:r w:rsidR="00127A1E">
              <w:t>TPWD</w:t>
            </w:r>
            <w:r>
              <w:t xml:space="preserve"> would have the ability to make sustainable investments in new parks. </w:t>
            </w:r>
            <w:r w:rsidR="00127A1E">
              <w:t>C.S.</w:t>
            </w:r>
            <w:r>
              <w:t>S.J.R. 74 seeks to address this issue by proposing a constitutional amendment to establish the centennial parks conservation fund, which will provide a ded</w:t>
            </w:r>
            <w:r>
              <w:t xml:space="preserve">icated funding source for the </w:t>
            </w:r>
            <w:r w:rsidR="00944F03">
              <w:t>creation</w:t>
            </w:r>
            <w:r>
              <w:t xml:space="preserve"> and </w:t>
            </w:r>
            <w:r w:rsidR="00944F03">
              <w:t>improve</w:t>
            </w:r>
            <w:r>
              <w:t xml:space="preserve">ment of state parks in Texas. </w:t>
            </w:r>
            <w:r w:rsidR="00127A1E">
              <w:t>C.S.</w:t>
            </w:r>
            <w:r>
              <w:t>S.J.R. 74 will afford voters the opportunity to ensure that Texans and visitors</w:t>
            </w:r>
            <w:r w:rsidR="00816121">
              <w:t xml:space="preserve"> to the state</w:t>
            </w:r>
            <w:r>
              <w:t xml:space="preserve"> can continue to enjoy the beauty of Texas' parks for generations to come. </w:t>
            </w:r>
          </w:p>
          <w:p w14:paraId="1E88AF17" w14:textId="77777777" w:rsidR="008423E4" w:rsidRPr="00E26B13" w:rsidRDefault="008423E4" w:rsidP="00F311D7">
            <w:pPr>
              <w:rPr>
                <w:b/>
              </w:rPr>
            </w:pPr>
          </w:p>
        </w:tc>
      </w:tr>
      <w:tr w:rsidR="00C23EB7" w14:paraId="2977B411" w14:textId="77777777" w:rsidTr="00345119">
        <w:tc>
          <w:tcPr>
            <w:tcW w:w="9576" w:type="dxa"/>
          </w:tcPr>
          <w:p w14:paraId="49B06DAE" w14:textId="77777777" w:rsidR="0017725B" w:rsidRDefault="00F04094" w:rsidP="00F311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14:paraId="106C80F5" w14:textId="77777777" w:rsidR="0017725B" w:rsidRDefault="0017725B" w:rsidP="00F311D7">
            <w:pPr>
              <w:rPr>
                <w:b/>
                <w:u w:val="single"/>
              </w:rPr>
            </w:pPr>
          </w:p>
          <w:p w14:paraId="53804CD9" w14:textId="7C110708" w:rsidR="00F4606E" w:rsidRPr="00F4606E" w:rsidRDefault="00F04094" w:rsidP="00F311D7">
            <w:pPr>
              <w:jc w:val="both"/>
            </w:pPr>
            <w:r>
              <w:t>It is the committee's opinion that this resolution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14:paraId="54004584" w14:textId="77777777" w:rsidR="0017725B" w:rsidRPr="0017725B" w:rsidRDefault="0017725B" w:rsidP="00F311D7">
            <w:pPr>
              <w:rPr>
                <w:b/>
                <w:u w:val="single"/>
              </w:rPr>
            </w:pPr>
          </w:p>
        </w:tc>
      </w:tr>
      <w:tr w:rsidR="00C23EB7" w14:paraId="64CDB3FF" w14:textId="77777777" w:rsidTr="00345119">
        <w:tc>
          <w:tcPr>
            <w:tcW w:w="9576" w:type="dxa"/>
          </w:tcPr>
          <w:p w14:paraId="7043C537" w14:textId="77777777" w:rsidR="008423E4" w:rsidRPr="00A8133F" w:rsidRDefault="00F04094" w:rsidP="00F311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F1D566" w14:textId="77777777" w:rsidR="008423E4" w:rsidRDefault="008423E4" w:rsidP="00F311D7"/>
          <w:p w14:paraId="524F1249" w14:textId="3E7D62E5" w:rsidR="00F4606E" w:rsidRDefault="00F04094" w:rsidP="00F311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14:paraId="5B910084" w14:textId="77777777" w:rsidR="008423E4" w:rsidRPr="00E21FDC" w:rsidRDefault="008423E4" w:rsidP="00F311D7">
            <w:pPr>
              <w:rPr>
                <w:b/>
              </w:rPr>
            </w:pPr>
          </w:p>
        </w:tc>
      </w:tr>
      <w:tr w:rsidR="00C23EB7" w14:paraId="6E97545A" w14:textId="77777777" w:rsidTr="00345119">
        <w:tc>
          <w:tcPr>
            <w:tcW w:w="9576" w:type="dxa"/>
          </w:tcPr>
          <w:p w14:paraId="427F3AFE" w14:textId="77777777" w:rsidR="008423E4" w:rsidRPr="00A8133F" w:rsidRDefault="00F04094" w:rsidP="00F311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606F7B2" w14:textId="77777777" w:rsidR="008423E4" w:rsidRDefault="008423E4" w:rsidP="00F311D7"/>
          <w:p w14:paraId="375D9012" w14:textId="4ED67A4E" w:rsidR="006874FB" w:rsidRDefault="00F04094" w:rsidP="00F311D7">
            <w:pPr>
              <w:pStyle w:val="Header"/>
              <w:jc w:val="both"/>
            </w:pPr>
            <w:r>
              <w:t>C.S.S.J.R. 74 proposes an amendment to the Texas Constitution to establish  the centennial parks conservation fund as a trust fund outside the treasury. The bill authorizes the fund to be used</w:t>
            </w:r>
            <w:r w:rsidR="00F4606E">
              <w:t>, in accordance with general law, only</w:t>
            </w:r>
            <w:r>
              <w:t xml:space="preserve"> for the creation and impr</w:t>
            </w:r>
            <w:r>
              <w:t>ovement of state parks. The fund consists of the following:</w:t>
            </w:r>
          </w:p>
          <w:p w14:paraId="1BC2FA60" w14:textId="77777777" w:rsidR="00342C8D" w:rsidRDefault="00F04094" w:rsidP="00F311D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money appropriated to the fund; </w:t>
            </w:r>
          </w:p>
          <w:p w14:paraId="3DC2B443" w14:textId="2ADCD852" w:rsidR="006874FB" w:rsidRDefault="00F04094" w:rsidP="00F311D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money transferred or deposited to </w:t>
            </w:r>
            <w:r w:rsidR="00E41E5D">
              <w:t xml:space="preserve">the </w:t>
            </w:r>
            <w:r>
              <w:t xml:space="preserve">credit of the fund by general law; </w:t>
            </w:r>
          </w:p>
          <w:p w14:paraId="718A45B4" w14:textId="08322C4A" w:rsidR="006874FB" w:rsidRDefault="00F04094" w:rsidP="00F311D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investment earnings and interest earned on amounts credited to the fund</w:t>
            </w:r>
            <w:r w:rsidR="00342C8D">
              <w:t>; and</w:t>
            </w:r>
          </w:p>
          <w:p w14:paraId="07D9CF21" w14:textId="7CCB385F" w:rsidR="00342C8D" w:rsidRDefault="00F04094" w:rsidP="00F311D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gifts, grant</w:t>
            </w:r>
            <w:r>
              <w:t xml:space="preserve">s and donations received for the fund. </w:t>
            </w:r>
          </w:p>
          <w:p w14:paraId="7541BECE" w14:textId="77777777" w:rsidR="00DE73FD" w:rsidRDefault="00DE73FD" w:rsidP="00F311D7">
            <w:pPr>
              <w:pStyle w:val="Header"/>
              <w:jc w:val="both"/>
            </w:pPr>
          </w:p>
          <w:p w14:paraId="047B8AB8" w14:textId="54F79C0C" w:rsidR="006874FB" w:rsidRDefault="00F04094" w:rsidP="00F311D7">
            <w:pPr>
              <w:pStyle w:val="Header"/>
              <w:jc w:val="both"/>
            </w:pPr>
            <w:r>
              <w:t xml:space="preserve">C.S.S.J.R. 74 authorizes the legislature to appropriate money from the fund to </w:t>
            </w:r>
            <w:r w:rsidR="00157499">
              <w:t>the Parks and Wildlife Department (</w:t>
            </w:r>
            <w:r>
              <w:t>TPWD</w:t>
            </w:r>
            <w:r w:rsidR="00157499">
              <w:t>)</w:t>
            </w:r>
            <w:r>
              <w:t xml:space="preserve"> or its successor in function for the purposes prescribed for the fund</w:t>
            </w:r>
            <w:r w:rsidR="00F4606E">
              <w:t xml:space="preserve"> by the </w:t>
            </w:r>
            <w:r w:rsidR="00157499">
              <w:t>resolution</w:t>
            </w:r>
            <w:r w:rsidR="00F4606E">
              <w:t>'s provisions and general law</w:t>
            </w:r>
            <w:r>
              <w:t xml:space="preserve">. The bill </w:t>
            </w:r>
            <w:r w:rsidR="00F4606E">
              <w:t xml:space="preserve">establishes the following </w:t>
            </w:r>
            <w:r w:rsidR="00157499">
              <w:t>for purposes of the constitutional restriction on the rate of growth of appropriations</w:t>
            </w:r>
            <w:r>
              <w:t xml:space="preserve">: </w:t>
            </w:r>
          </w:p>
          <w:p w14:paraId="75135988" w14:textId="1C3A73FF" w:rsidR="006874FB" w:rsidRDefault="00F04094" w:rsidP="00F311D7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money in the fund is dedicated by </w:t>
            </w:r>
            <w:r w:rsidR="00B43627">
              <w:t xml:space="preserve">the </w:t>
            </w:r>
            <w:r w:rsidR="00DE73FD">
              <w:t>Texas</w:t>
            </w:r>
            <w:r w:rsidR="00B43627">
              <w:t xml:space="preserve"> </w:t>
            </w:r>
            <w:r w:rsidR="00DE73FD">
              <w:t>Constitution</w:t>
            </w:r>
            <w:r>
              <w:t>; and</w:t>
            </w:r>
          </w:p>
          <w:p w14:paraId="4F5B1DAD" w14:textId="57C31B1C" w:rsidR="006874FB" w:rsidRDefault="00F04094" w:rsidP="00F311D7">
            <w:pPr>
              <w:pStyle w:val="Header"/>
              <w:numPr>
                <w:ilvl w:val="0"/>
                <w:numId w:val="2"/>
              </w:numPr>
              <w:jc w:val="both"/>
            </w:pPr>
            <w:r>
              <w:tab/>
              <w:t>an appropriation of state tax revenues for the</w:t>
            </w:r>
            <w:r>
              <w:t xml:space="preserve"> purpose of depositing money to the credit of the fund is treated as if it were an appropriation of revenues dedicated by </w:t>
            </w:r>
            <w:r w:rsidR="00B43627">
              <w:t xml:space="preserve">the </w:t>
            </w:r>
            <w:r>
              <w:t>constitution.</w:t>
            </w:r>
          </w:p>
          <w:p w14:paraId="19DA8119" w14:textId="551D54F0" w:rsidR="008423E4" w:rsidRPr="00835628" w:rsidRDefault="00F04094" w:rsidP="00F311D7">
            <w:pPr>
              <w:pStyle w:val="Header"/>
              <w:jc w:val="both"/>
              <w:rPr>
                <w:b/>
              </w:rPr>
            </w:pPr>
            <w:r>
              <w:t xml:space="preserve">The </w:t>
            </w:r>
            <w:r w:rsidR="00DE73FD">
              <w:t xml:space="preserve">resolution </w:t>
            </w:r>
            <w:r>
              <w:t xml:space="preserve">requires </w:t>
            </w:r>
            <w:r w:rsidRPr="00342C8D">
              <w:t xml:space="preserve">the comptroller of public accounts </w:t>
            </w:r>
            <w:r>
              <w:t>to</w:t>
            </w:r>
            <w:r w:rsidRPr="00342C8D">
              <w:t xml:space="preserve"> transfer</w:t>
            </w:r>
            <w:r>
              <w:t xml:space="preserve"> o</w:t>
            </w:r>
            <w:r w:rsidRPr="00342C8D">
              <w:t>n January 1, 2024</w:t>
            </w:r>
            <w:r>
              <w:t>,</w:t>
            </w:r>
            <w:r w:rsidRPr="00342C8D">
              <w:t xml:space="preserve"> $</w:t>
            </w:r>
            <w:r w:rsidR="00317549" w:rsidRPr="00342C8D">
              <w:t>1</w:t>
            </w:r>
            <w:r w:rsidR="00317549">
              <w:t> </w:t>
            </w:r>
            <w:r w:rsidRPr="00342C8D">
              <w:t>billion of the unencum</w:t>
            </w:r>
            <w:r w:rsidRPr="00342C8D">
              <w:t xml:space="preserve">bered balance of the general revenue fund that exists on that date to the fund. </w:t>
            </w:r>
            <w:r w:rsidR="00B43627">
              <w:t>Th</w:t>
            </w:r>
            <w:r w:rsidR="00DE73FD">
              <w:t xml:space="preserve">is requirement </w:t>
            </w:r>
            <w:r w:rsidRPr="00342C8D">
              <w:t xml:space="preserve">expires December 31, 2024. </w:t>
            </w:r>
          </w:p>
        </w:tc>
      </w:tr>
      <w:tr w:rsidR="00C23EB7" w14:paraId="6038FACF" w14:textId="77777777" w:rsidTr="00345119">
        <w:tc>
          <w:tcPr>
            <w:tcW w:w="9576" w:type="dxa"/>
          </w:tcPr>
          <w:p w14:paraId="3E8BEA58" w14:textId="77777777" w:rsidR="008423E4" w:rsidRPr="00A8133F" w:rsidRDefault="00F04094" w:rsidP="00F311D7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18AA104E" w14:textId="77777777" w:rsidR="008423E4" w:rsidRDefault="008423E4" w:rsidP="00F311D7"/>
          <w:p w14:paraId="4F404E1C" w14:textId="73F6DF92" w:rsidR="008423E4" w:rsidRPr="003624F2" w:rsidRDefault="00F04094" w:rsidP="00F311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</w:t>
            </w:r>
            <w:r>
              <w:t xml:space="preserve"> proposed by this joint resolution will be submitted to the voters at an election to be held November 7, 2023.</w:t>
            </w:r>
          </w:p>
          <w:p w14:paraId="710176D7" w14:textId="77777777" w:rsidR="008423E4" w:rsidRPr="00233FDB" w:rsidRDefault="008423E4" w:rsidP="00F311D7">
            <w:pPr>
              <w:rPr>
                <w:b/>
              </w:rPr>
            </w:pPr>
          </w:p>
        </w:tc>
      </w:tr>
      <w:tr w:rsidR="00C23EB7" w14:paraId="2D6E68BB" w14:textId="77777777" w:rsidTr="00345119">
        <w:tc>
          <w:tcPr>
            <w:tcW w:w="9576" w:type="dxa"/>
          </w:tcPr>
          <w:p w14:paraId="53D99945" w14:textId="615055D9" w:rsidR="00342C8D" w:rsidRDefault="00F04094" w:rsidP="00F311D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1FA5DCA" w14:textId="77777777" w:rsidR="00F311D7" w:rsidRPr="00D73924" w:rsidRDefault="00F311D7" w:rsidP="00F311D7">
            <w:pPr>
              <w:jc w:val="both"/>
              <w:rPr>
                <w:b/>
                <w:u w:val="single"/>
              </w:rPr>
            </w:pPr>
          </w:p>
          <w:p w14:paraId="052E569B" w14:textId="30469026" w:rsidR="00342C8D" w:rsidRDefault="00F04094" w:rsidP="00F311D7">
            <w:pPr>
              <w:jc w:val="both"/>
            </w:pPr>
            <w:r>
              <w:t xml:space="preserve">While C.S.S.J.R. 74 may differ from the engrossed in minor or nonsubstantive ways, the following summarizes the substantial differences between the engrossed and committee substitute versions of the </w:t>
            </w:r>
            <w:r w:rsidR="00157499">
              <w:t>resolution</w:t>
            </w:r>
            <w:r>
              <w:t>.</w:t>
            </w:r>
          </w:p>
          <w:p w14:paraId="20E8ED5C" w14:textId="22E6953A" w:rsidR="00342C8D" w:rsidRDefault="00342C8D" w:rsidP="00F311D7">
            <w:pPr>
              <w:jc w:val="both"/>
            </w:pPr>
          </w:p>
          <w:p w14:paraId="2A91918C" w14:textId="4A7F2A26" w:rsidR="0056191A" w:rsidRDefault="00F04094" w:rsidP="00F311D7">
            <w:pPr>
              <w:jc w:val="both"/>
            </w:pPr>
            <w:r>
              <w:t>The substitute omits the provision in the en</w:t>
            </w:r>
            <w:r>
              <w:t>grossed that requires the reasonable expenses of managing the fund and its assets to be paid from the fund.</w:t>
            </w:r>
            <w:r w:rsidR="00D73924" w:rsidRPr="00D73924">
              <w:t xml:space="preserve"> </w:t>
            </w:r>
          </w:p>
          <w:p w14:paraId="371D6A1F" w14:textId="7E7CF855" w:rsidR="0056191A" w:rsidRDefault="0056191A" w:rsidP="00F311D7">
            <w:pPr>
              <w:jc w:val="both"/>
            </w:pPr>
          </w:p>
          <w:p w14:paraId="1B4FC340" w14:textId="18CE3FAB" w:rsidR="0056191A" w:rsidRDefault="00F04094" w:rsidP="00F311D7">
            <w:pPr>
              <w:jc w:val="both"/>
            </w:pPr>
            <w:r>
              <w:t xml:space="preserve">The substitute includes </w:t>
            </w:r>
            <w:r w:rsidR="004A34C2">
              <w:t xml:space="preserve">a </w:t>
            </w:r>
            <w:r>
              <w:t xml:space="preserve">provision not in the </w:t>
            </w:r>
            <w:r w:rsidR="00157499">
              <w:t xml:space="preserve">engrossed </w:t>
            </w:r>
            <w:r w:rsidR="00E41E5D">
              <w:t xml:space="preserve">that </w:t>
            </w:r>
            <w:r w:rsidR="00AD18D4">
              <w:t>require</w:t>
            </w:r>
            <w:r w:rsidR="004A34C2">
              <w:t>s</w:t>
            </w:r>
            <w:r w:rsidR="00AD18D4">
              <w:t xml:space="preserve"> the comptroller to transfer </w:t>
            </w:r>
            <w:r w:rsidR="004A34C2">
              <w:t xml:space="preserve">on January 1, 2024, </w:t>
            </w:r>
            <w:r w:rsidR="00AD18D4">
              <w:t>$1 billion of the unencumbered balance of the general revenue fund that exists on that date to</w:t>
            </w:r>
            <w:r w:rsidR="004A34C2">
              <w:t xml:space="preserve"> the</w:t>
            </w:r>
            <w:r w:rsidR="00AD18D4">
              <w:t xml:space="preserve"> fund and </w:t>
            </w:r>
            <w:r w:rsidR="00E41E5D">
              <w:t>establish</w:t>
            </w:r>
            <w:r w:rsidR="004A34C2">
              <w:t>es</w:t>
            </w:r>
            <w:r w:rsidR="00E41E5D">
              <w:t xml:space="preserve"> that </w:t>
            </w:r>
            <w:r w:rsidR="00AD18D4">
              <w:t>t</w:t>
            </w:r>
            <w:r w:rsidR="00157499">
              <w:t>his r</w:t>
            </w:r>
            <w:r w:rsidR="00AD18D4">
              <w:t>e</w:t>
            </w:r>
            <w:r w:rsidR="00157499">
              <w:t>qui</w:t>
            </w:r>
            <w:r w:rsidR="004A34C2">
              <w:t>r</w:t>
            </w:r>
            <w:r w:rsidR="00157499">
              <w:t xml:space="preserve">ement </w:t>
            </w:r>
            <w:r w:rsidR="00AD18D4">
              <w:t xml:space="preserve">expires December 31, 2024. </w:t>
            </w:r>
          </w:p>
          <w:p w14:paraId="211E9608" w14:textId="5DBD2B42" w:rsidR="00342C8D" w:rsidRPr="00342C8D" w:rsidRDefault="00342C8D" w:rsidP="00F311D7">
            <w:pPr>
              <w:jc w:val="both"/>
            </w:pPr>
          </w:p>
        </w:tc>
      </w:tr>
      <w:tr w:rsidR="00C23EB7" w14:paraId="4CAFB57A" w14:textId="77777777" w:rsidTr="00345119">
        <w:tc>
          <w:tcPr>
            <w:tcW w:w="9576" w:type="dxa"/>
          </w:tcPr>
          <w:p w14:paraId="7FB48DC5" w14:textId="77777777" w:rsidR="006874FB" w:rsidRDefault="006874FB" w:rsidP="00F311D7">
            <w:pPr>
              <w:rPr>
                <w:b/>
                <w:u w:val="single"/>
              </w:rPr>
            </w:pPr>
          </w:p>
        </w:tc>
      </w:tr>
      <w:tr w:rsidR="00C23EB7" w14:paraId="0F8B5BFB" w14:textId="77777777" w:rsidTr="00345119">
        <w:tc>
          <w:tcPr>
            <w:tcW w:w="9576" w:type="dxa"/>
          </w:tcPr>
          <w:p w14:paraId="0BD1ED5A" w14:textId="77777777" w:rsidR="006874FB" w:rsidRPr="006874FB" w:rsidRDefault="006874FB" w:rsidP="00F311D7">
            <w:pPr>
              <w:jc w:val="both"/>
            </w:pPr>
          </w:p>
        </w:tc>
      </w:tr>
    </w:tbl>
    <w:p w14:paraId="70546E31" w14:textId="77777777" w:rsidR="008423E4" w:rsidRPr="00BE0E75" w:rsidRDefault="008423E4" w:rsidP="00F311D7">
      <w:pPr>
        <w:jc w:val="both"/>
        <w:rPr>
          <w:rFonts w:ascii="Arial" w:hAnsi="Arial"/>
          <w:sz w:val="16"/>
          <w:szCs w:val="16"/>
        </w:rPr>
      </w:pPr>
    </w:p>
    <w:p w14:paraId="72144EF9" w14:textId="77777777" w:rsidR="004108C3" w:rsidRPr="008423E4" w:rsidRDefault="004108C3" w:rsidP="00F311D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86DC" w14:textId="77777777" w:rsidR="00000000" w:rsidRDefault="00F04094">
      <w:r>
        <w:separator/>
      </w:r>
    </w:p>
  </w:endnote>
  <w:endnote w:type="continuationSeparator" w:id="0">
    <w:p w14:paraId="0D79DAAE" w14:textId="77777777" w:rsidR="00000000" w:rsidRDefault="00F0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87A5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3EB7" w14:paraId="47B4BFA3" w14:textId="77777777" w:rsidTr="009C1E9A">
      <w:trPr>
        <w:cantSplit/>
      </w:trPr>
      <w:tc>
        <w:tcPr>
          <w:tcW w:w="0" w:type="pct"/>
        </w:tcPr>
        <w:p w14:paraId="515F53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135D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FC5E5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BC93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77BD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3EB7" w14:paraId="38935440" w14:textId="77777777" w:rsidTr="009C1E9A">
      <w:trPr>
        <w:cantSplit/>
      </w:trPr>
      <w:tc>
        <w:tcPr>
          <w:tcW w:w="0" w:type="pct"/>
        </w:tcPr>
        <w:p w14:paraId="7C289A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C64724" w14:textId="77777777" w:rsidR="00EC379B" w:rsidRPr="009C1E9A" w:rsidRDefault="00F040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27956-D</w:t>
          </w:r>
        </w:p>
      </w:tc>
      <w:tc>
        <w:tcPr>
          <w:tcW w:w="2453" w:type="pct"/>
        </w:tcPr>
        <w:p w14:paraId="1DA40653" w14:textId="2152B075" w:rsidR="00EC379B" w:rsidRDefault="00F040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311D7">
            <w:t>23.124.1722</w:t>
          </w:r>
          <w:r>
            <w:fldChar w:fldCharType="end"/>
          </w:r>
        </w:p>
      </w:tc>
    </w:tr>
    <w:tr w:rsidR="00C23EB7" w14:paraId="3019E8C8" w14:textId="77777777" w:rsidTr="009C1E9A">
      <w:trPr>
        <w:cantSplit/>
      </w:trPr>
      <w:tc>
        <w:tcPr>
          <w:tcW w:w="0" w:type="pct"/>
        </w:tcPr>
        <w:p w14:paraId="0713FAA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482FB76" w14:textId="77777777" w:rsidR="00EC379B" w:rsidRPr="009C1E9A" w:rsidRDefault="00F040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19559</w:t>
          </w:r>
        </w:p>
      </w:tc>
      <w:tc>
        <w:tcPr>
          <w:tcW w:w="2453" w:type="pct"/>
        </w:tcPr>
        <w:p w14:paraId="4FF592D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0F2C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3EB7" w14:paraId="043D5DA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D04165F" w14:textId="77777777" w:rsidR="00EC379B" w:rsidRDefault="00F040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0DB32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3F9CC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A6F6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B94F" w14:textId="77777777" w:rsidR="00000000" w:rsidRDefault="00F04094">
      <w:r>
        <w:separator/>
      </w:r>
    </w:p>
  </w:footnote>
  <w:footnote w:type="continuationSeparator" w:id="0">
    <w:p w14:paraId="55C8B380" w14:textId="77777777" w:rsidR="00000000" w:rsidRDefault="00F0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64B5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6126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0EE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BCE"/>
    <w:multiLevelType w:val="hybridMultilevel"/>
    <w:tmpl w:val="5AE0A360"/>
    <w:lvl w:ilvl="0" w:tplc="5F780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4D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43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EF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0E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03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E0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6C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C1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376"/>
    <w:multiLevelType w:val="hybridMultilevel"/>
    <w:tmpl w:val="58EE0F4A"/>
    <w:lvl w:ilvl="0" w:tplc="D5441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65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09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0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09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CC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42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C4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28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F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27A1E"/>
    <w:rsid w:val="001312BB"/>
    <w:rsid w:val="00137D90"/>
    <w:rsid w:val="00141FB6"/>
    <w:rsid w:val="00142F8E"/>
    <w:rsid w:val="00143C8B"/>
    <w:rsid w:val="00147530"/>
    <w:rsid w:val="0015331F"/>
    <w:rsid w:val="00156AB2"/>
    <w:rsid w:val="00157499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549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2C8D"/>
    <w:rsid w:val="00343A92"/>
    <w:rsid w:val="00344530"/>
    <w:rsid w:val="003446DC"/>
    <w:rsid w:val="00347B4A"/>
    <w:rsid w:val="003500C3"/>
    <w:rsid w:val="003519ED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F04"/>
    <w:rsid w:val="00377E3D"/>
    <w:rsid w:val="003847E8"/>
    <w:rsid w:val="0038731D"/>
    <w:rsid w:val="00387B60"/>
    <w:rsid w:val="00390098"/>
    <w:rsid w:val="00392DA1"/>
    <w:rsid w:val="00393718"/>
    <w:rsid w:val="003960F7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34C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91A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874FB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6121"/>
    <w:rsid w:val="008170E2"/>
    <w:rsid w:val="00823E4C"/>
    <w:rsid w:val="00827749"/>
    <w:rsid w:val="00827B7E"/>
    <w:rsid w:val="00830EEB"/>
    <w:rsid w:val="008347A9"/>
    <w:rsid w:val="00835628"/>
    <w:rsid w:val="00835E90"/>
    <w:rsid w:val="00837EA5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4F03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3AE"/>
    <w:rsid w:val="009B26AB"/>
    <w:rsid w:val="009B3476"/>
    <w:rsid w:val="009B39BC"/>
    <w:rsid w:val="009B4865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8D4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843"/>
    <w:rsid w:val="00B31F0E"/>
    <w:rsid w:val="00B34F25"/>
    <w:rsid w:val="00B4362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3EB7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C7CC2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924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333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3FD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1E5D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094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6F6D"/>
    <w:rsid w:val="00F27573"/>
    <w:rsid w:val="00F307B6"/>
    <w:rsid w:val="00F30EB8"/>
    <w:rsid w:val="00F311D7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06E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C9758C-C8F4-4971-8365-2386027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2C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2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2C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2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2C8D"/>
    <w:rPr>
      <w:b/>
      <w:bCs/>
    </w:rPr>
  </w:style>
  <w:style w:type="paragraph" w:styleId="Revision">
    <w:name w:val="Revision"/>
    <w:hidden/>
    <w:uiPriority w:val="99"/>
    <w:semiHidden/>
    <w:rsid w:val="00F46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3140</Characters>
  <Application>Microsoft Office Word</Application>
  <DocSecurity>4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SJR00074 (Committee Report (Substituted))</vt:lpstr>
    </vt:vector>
  </TitlesOfParts>
  <Company>State of Texas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27956</dc:subject>
  <dc:creator>State of Texas</dc:creator>
  <dc:description>SJR 74 by Parker-(H)Culture, Recreation &amp; Tourism (Substitute Document Number: 88R 19559)</dc:description>
  <cp:lastModifiedBy>Matthew Lee</cp:lastModifiedBy>
  <cp:revision>2</cp:revision>
  <cp:lastPrinted>2003-11-26T17:21:00Z</cp:lastPrinted>
  <dcterms:created xsi:type="dcterms:W3CDTF">2023-05-08T21:23:00Z</dcterms:created>
  <dcterms:modified xsi:type="dcterms:W3CDTF">2023-05-08T21:23:00Z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23.124.1722</vt:lpwstr>
  </property>
</Properties>
</file>