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B3108" w14:paraId="0E4D88A8" w14:textId="77777777" w:rsidTr="00345119">
        <w:tc>
          <w:tcPr>
            <w:tcW w:w="9576" w:type="dxa"/>
            <w:noWrap/>
          </w:tcPr>
          <w:p w14:paraId="5FC471C5" w14:textId="77777777" w:rsidR="008423E4" w:rsidRPr="0022177D" w:rsidRDefault="00FA09FD" w:rsidP="004032AE">
            <w:pPr>
              <w:pStyle w:val="Heading1"/>
            </w:pPr>
            <w:r>
              <w:t>RESOLUTION ANALYSIS</w:t>
            </w:r>
          </w:p>
        </w:tc>
      </w:tr>
    </w:tbl>
    <w:p w14:paraId="4F8052B2" w14:textId="77777777" w:rsidR="008423E4" w:rsidRPr="0022177D" w:rsidRDefault="008423E4" w:rsidP="004032AE">
      <w:pPr>
        <w:jc w:val="center"/>
      </w:pPr>
    </w:p>
    <w:p w14:paraId="08F16350" w14:textId="77777777" w:rsidR="008423E4" w:rsidRPr="00B31F0E" w:rsidRDefault="008423E4" w:rsidP="004032AE"/>
    <w:p w14:paraId="2F7BB613" w14:textId="77777777" w:rsidR="008423E4" w:rsidRPr="00742794" w:rsidRDefault="008423E4" w:rsidP="004032AE">
      <w:pPr>
        <w:tabs>
          <w:tab w:val="right" w:pos="9360"/>
        </w:tabs>
      </w:pPr>
    </w:p>
    <w:tbl>
      <w:tblPr>
        <w:tblW w:w="0" w:type="auto"/>
        <w:tblLayout w:type="fixed"/>
        <w:tblLook w:val="01E0" w:firstRow="1" w:lastRow="1" w:firstColumn="1" w:lastColumn="1" w:noHBand="0" w:noVBand="0"/>
      </w:tblPr>
      <w:tblGrid>
        <w:gridCol w:w="9576"/>
      </w:tblGrid>
      <w:tr w:rsidR="00DB3108" w14:paraId="2BEE3904" w14:textId="77777777" w:rsidTr="00345119">
        <w:tc>
          <w:tcPr>
            <w:tcW w:w="9576" w:type="dxa"/>
          </w:tcPr>
          <w:p w14:paraId="3804D1B7" w14:textId="77777777" w:rsidR="008423E4" w:rsidRPr="00861995" w:rsidRDefault="00FA09FD" w:rsidP="004032AE">
            <w:pPr>
              <w:jc w:val="right"/>
            </w:pPr>
            <w:r>
              <w:t>C.S.S.J.R. 75</w:t>
            </w:r>
          </w:p>
        </w:tc>
      </w:tr>
      <w:tr w:rsidR="00DB3108" w14:paraId="50D3D1F2" w14:textId="77777777" w:rsidTr="00345119">
        <w:tc>
          <w:tcPr>
            <w:tcW w:w="9576" w:type="dxa"/>
          </w:tcPr>
          <w:p w14:paraId="6D0E18A1" w14:textId="77777777" w:rsidR="008423E4" w:rsidRPr="00861995" w:rsidRDefault="00FA09FD" w:rsidP="004032AE">
            <w:pPr>
              <w:jc w:val="right"/>
            </w:pPr>
            <w:r>
              <w:t xml:space="preserve">By: </w:t>
            </w:r>
            <w:r w:rsidR="007B0F45">
              <w:t>Perry</w:t>
            </w:r>
          </w:p>
        </w:tc>
      </w:tr>
      <w:tr w:rsidR="00DB3108" w14:paraId="0F750290" w14:textId="77777777" w:rsidTr="00345119">
        <w:tc>
          <w:tcPr>
            <w:tcW w:w="9576" w:type="dxa"/>
          </w:tcPr>
          <w:p w14:paraId="692A1BAF" w14:textId="77777777" w:rsidR="008423E4" w:rsidRPr="00861995" w:rsidRDefault="00FA09FD" w:rsidP="004032AE">
            <w:pPr>
              <w:jc w:val="right"/>
            </w:pPr>
            <w:r>
              <w:t>Natural Resources</w:t>
            </w:r>
          </w:p>
        </w:tc>
      </w:tr>
      <w:tr w:rsidR="00DB3108" w14:paraId="0ED80733" w14:textId="77777777" w:rsidTr="00345119">
        <w:tc>
          <w:tcPr>
            <w:tcW w:w="9576" w:type="dxa"/>
          </w:tcPr>
          <w:p w14:paraId="16EFF6B4" w14:textId="77777777" w:rsidR="008423E4" w:rsidRDefault="00FA09FD" w:rsidP="004032AE">
            <w:pPr>
              <w:jc w:val="right"/>
            </w:pPr>
            <w:r>
              <w:t>Committee Report (Substituted)</w:t>
            </w:r>
          </w:p>
        </w:tc>
      </w:tr>
    </w:tbl>
    <w:p w14:paraId="1098DEA9" w14:textId="77777777" w:rsidR="008423E4" w:rsidRDefault="008423E4" w:rsidP="004032AE">
      <w:pPr>
        <w:tabs>
          <w:tab w:val="right" w:pos="9360"/>
        </w:tabs>
      </w:pPr>
    </w:p>
    <w:p w14:paraId="53A2B689" w14:textId="77777777" w:rsidR="008423E4" w:rsidRDefault="008423E4" w:rsidP="004032AE"/>
    <w:p w14:paraId="24418801" w14:textId="77777777" w:rsidR="008423E4" w:rsidRDefault="008423E4" w:rsidP="004032AE"/>
    <w:tbl>
      <w:tblPr>
        <w:tblW w:w="0" w:type="auto"/>
        <w:tblCellMar>
          <w:left w:w="115" w:type="dxa"/>
          <w:right w:w="115" w:type="dxa"/>
        </w:tblCellMar>
        <w:tblLook w:val="01E0" w:firstRow="1" w:lastRow="1" w:firstColumn="1" w:lastColumn="1" w:noHBand="0" w:noVBand="0"/>
      </w:tblPr>
      <w:tblGrid>
        <w:gridCol w:w="9360"/>
      </w:tblGrid>
      <w:tr w:rsidR="00DB3108" w14:paraId="0E342A1A" w14:textId="77777777" w:rsidTr="006262B5">
        <w:tc>
          <w:tcPr>
            <w:tcW w:w="9360" w:type="dxa"/>
          </w:tcPr>
          <w:p w14:paraId="010B46DD" w14:textId="77777777" w:rsidR="008423E4" w:rsidRPr="00A8133F" w:rsidRDefault="00FA09FD" w:rsidP="004032AE">
            <w:pPr>
              <w:rPr>
                <w:b/>
              </w:rPr>
            </w:pPr>
            <w:r w:rsidRPr="009C1E9A">
              <w:rPr>
                <w:b/>
                <w:u w:val="single"/>
              </w:rPr>
              <w:t>BACKGROUND AND PURPOSE</w:t>
            </w:r>
            <w:r>
              <w:rPr>
                <w:b/>
              </w:rPr>
              <w:t xml:space="preserve"> </w:t>
            </w:r>
          </w:p>
          <w:p w14:paraId="28AA3E1D" w14:textId="77777777" w:rsidR="008423E4" w:rsidRDefault="008423E4" w:rsidP="004032AE">
            <w:pPr>
              <w:jc w:val="both"/>
            </w:pPr>
          </w:p>
          <w:p w14:paraId="75EC17C0" w14:textId="787951BD" w:rsidR="007B0F45" w:rsidRDefault="00FA09FD" w:rsidP="004032AE">
            <w:pPr>
              <w:jc w:val="both"/>
            </w:pPr>
            <w:r>
              <w:t>The Texas House Natural Resources Committee Interim Report to the 88</w:t>
            </w:r>
            <w:r w:rsidR="007C2927">
              <w:t>th</w:t>
            </w:r>
            <w:r>
              <w:t xml:space="preserve"> Legislature noted that Texas</w:t>
            </w:r>
            <w:r w:rsidR="00325B34">
              <w:t>'</w:t>
            </w:r>
            <w:r>
              <w:t xml:space="preserve"> water and wastewater infrastructure is at a crisis point and that the </w:t>
            </w:r>
            <w:r w:rsidR="00FD400B">
              <w:t>l</w:t>
            </w:r>
            <w:r>
              <w:t>egislature should consider large-scale investments in water development. According to the 2022 State Water Plan, Texas</w:t>
            </w:r>
            <w:r w:rsidR="00325B34">
              <w:t>'</w:t>
            </w:r>
            <w:r>
              <w:t xml:space="preserve"> population is expected to increase</w:t>
            </w:r>
            <w:r>
              <w:t xml:space="preserve"> by 73 percent from 2020 to 2070</w:t>
            </w:r>
            <w:r w:rsidR="000D7019">
              <w:t>,</w:t>
            </w:r>
            <w:r>
              <w:t xml:space="preserve"> and water demands are projected to increase by approximately </w:t>
            </w:r>
            <w:r w:rsidR="000D7019">
              <w:t>nine</w:t>
            </w:r>
            <w:r>
              <w:t xml:space="preserve"> percent, from 17.7 million to 19.2 million acre</w:t>
            </w:r>
            <w:r w:rsidR="00325B34">
              <w:noBreakHyphen/>
            </w:r>
            <w:r>
              <w:t>feet per year. However, in that same time frame, Texas</w:t>
            </w:r>
            <w:r w:rsidR="00325B34">
              <w:t>'</w:t>
            </w:r>
            <w:r>
              <w:t xml:space="preserve"> existing water supplies are projected to decline by </w:t>
            </w:r>
            <w:r>
              <w:t xml:space="preserve">approximately 18 percent, resulting in a potential water shortage of 6.9 million acre-feet per year in 2070. The Texas Section of the American Society of Civil Engineers has </w:t>
            </w:r>
            <w:r w:rsidR="00920EB5">
              <w:t xml:space="preserve">given the state a </w:t>
            </w:r>
            <w:r>
              <w:t>grade</w:t>
            </w:r>
            <w:r w:rsidR="00920EB5">
              <w:t xml:space="preserve"> of "C-" for drinking water</w:t>
            </w:r>
            <w:r>
              <w:t xml:space="preserve"> infrastructure </w:t>
            </w:r>
            <w:r w:rsidR="00920EB5">
              <w:t>and</w:t>
            </w:r>
            <w:r>
              <w:t xml:space="preserve"> </w:t>
            </w:r>
            <w:r w:rsidR="00920EB5">
              <w:t>"</w:t>
            </w:r>
            <w:r>
              <w:t>D</w:t>
            </w:r>
            <w:r w:rsidR="00920EB5">
              <w:t>"</w:t>
            </w:r>
            <w:r>
              <w:t xml:space="preserve"> for wast</w:t>
            </w:r>
            <w:r>
              <w:t>ewater</w:t>
            </w:r>
            <w:r w:rsidR="00920EB5">
              <w:t xml:space="preserve"> infrastructure</w:t>
            </w:r>
            <w:r>
              <w:t xml:space="preserve">. The study </w:t>
            </w:r>
            <w:r w:rsidR="00920EB5">
              <w:t>"</w:t>
            </w:r>
            <w:r>
              <w:t>Hidden Reservoirs: Addressing Water Loss in Texas</w:t>
            </w:r>
            <w:r w:rsidR="00920EB5">
              <w:t>"</w:t>
            </w:r>
            <w:r>
              <w:t xml:space="preserve"> found that Texas utilities are losing at least 572,000 acre-feet of water per year, </w:t>
            </w:r>
            <w:r w:rsidR="00920EB5">
              <w:t>which is</w:t>
            </w:r>
            <w:r>
              <w:t xml:space="preserve"> more than the water needs of Austin, Fort Worth, El Paso, Laredo, and Lubbock </w:t>
            </w:r>
            <w:r>
              <w:t xml:space="preserve">combined. </w:t>
            </w:r>
          </w:p>
          <w:p w14:paraId="3D79D3BE" w14:textId="77777777" w:rsidR="001631AB" w:rsidRDefault="001631AB" w:rsidP="004032AE">
            <w:pPr>
              <w:jc w:val="both"/>
            </w:pPr>
          </w:p>
          <w:p w14:paraId="261DB05C" w14:textId="4CB06661" w:rsidR="008423E4" w:rsidRDefault="00FA09FD" w:rsidP="004032AE">
            <w:pPr>
              <w:pStyle w:val="Header"/>
              <w:tabs>
                <w:tab w:val="clear" w:pos="4320"/>
                <w:tab w:val="clear" w:pos="8640"/>
              </w:tabs>
              <w:jc w:val="both"/>
            </w:pPr>
            <w:r>
              <w:t>C.S.S.J.R</w:t>
            </w:r>
            <w:r w:rsidR="00CC0325">
              <w:t>.</w:t>
            </w:r>
            <w:r>
              <w:t xml:space="preserve"> 75 seeks to </w:t>
            </w:r>
            <w:r w:rsidR="007B0F45">
              <w:t xml:space="preserve">create the Texas </w:t>
            </w:r>
            <w:r w:rsidR="00863759">
              <w:t>W</w:t>
            </w:r>
            <w:r w:rsidR="007B0F45">
              <w:t xml:space="preserve">ater </w:t>
            </w:r>
            <w:r w:rsidR="00863759">
              <w:t>F</w:t>
            </w:r>
            <w:r w:rsidR="007B0F45">
              <w:t>und to provide financial assistance to address these pressing water challenges.</w:t>
            </w:r>
          </w:p>
          <w:p w14:paraId="5C0385E3" w14:textId="77777777" w:rsidR="008423E4" w:rsidRPr="00E26B13" w:rsidRDefault="008423E4" w:rsidP="004032AE">
            <w:pPr>
              <w:rPr>
                <w:b/>
              </w:rPr>
            </w:pPr>
          </w:p>
        </w:tc>
      </w:tr>
      <w:tr w:rsidR="00DB3108" w14:paraId="23CBEAD5" w14:textId="77777777" w:rsidTr="006262B5">
        <w:tc>
          <w:tcPr>
            <w:tcW w:w="9360" w:type="dxa"/>
          </w:tcPr>
          <w:p w14:paraId="023FCDF6" w14:textId="77777777" w:rsidR="0017725B" w:rsidRDefault="00FA09FD" w:rsidP="004032AE">
            <w:pPr>
              <w:rPr>
                <w:b/>
                <w:u w:val="single"/>
              </w:rPr>
            </w:pPr>
            <w:r>
              <w:rPr>
                <w:b/>
                <w:u w:val="single"/>
              </w:rPr>
              <w:t>CRIMINAL JUSTICE IMPACT</w:t>
            </w:r>
          </w:p>
          <w:p w14:paraId="64CD17C7" w14:textId="77777777" w:rsidR="0017725B" w:rsidRDefault="0017725B" w:rsidP="004032AE">
            <w:pPr>
              <w:rPr>
                <w:b/>
                <w:u w:val="single"/>
              </w:rPr>
            </w:pPr>
          </w:p>
          <w:p w14:paraId="1D89D1FE" w14:textId="4B49BB77" w:rsidR="007B0F45" w:rsidRPr="007B0F45" w:rsidRDefault="00FA09FD" w:rsidP="004032AE">
            <w:pPr>
              <w:jc w:val="both"/>
            </w:pPr>
            <w:r>
              <w:t xml:space="preserve">It is the committee's opinion that this resolution does not expressly create a </w:t>
            </w:r>
            <w:r>
              <w:t>criminal offense, increase the punishment for an existing criminal offense or category of offenses, or change the eligibility of a person for community supervision, parole, or mandatory supervision.</w:t>
            </w:r>
          </w:p>
          <w:p w14:paraId="0A66C623" w14:textId="77777777" w:rsidR="0017725B" w:rsidRPr="0017725B" w:rsidRDefault="0017725B" w:rsidP="004032AE">
            <w:pPr>
              <w:rPr>
                <w:b/>
                <w:u w:val="single"/>
              </w:rPr>
            </w:pPr>
          </w:p>
        </w:tc>
      </w:tr>
      <w:tr w:rsidR="00DB3108" w14:paraId="34C59B15" w14:textId="77777777" w:rsidTr="006262B5">
        <w:tc>
          <w:tcPr>
            <w:tcW w:w="9360" w:type="dxa"/>
          </w:tcPr>
          <w:p w14:paraId="60FCB71B" w14:textId="77777777" w:rsidR="008423E4" w:rsidRPr="00A8133F" w:rsidRDefault="00FA09FD" w:rsidP="004032AE">
            <w:pPr>
              <w:rPr>
                <w:b/>
              </w:rPr>
            </w:pPr>
            <w:r w:rsidRPr="009C1E9A">
              <w:rPr>
                <w:b/>
                <w:u w:val="single"/>
              </w:rPr>
              <w:t>RULEMAKING AUTHORITY</w:t>
            </w:r>
            <w:r>
              <w:rPr>
                <w:b/>
              </w:rPr>
              <w:t xml:space="preserve"> </w:t>
            </w:r>
          </w:p>
          <w:p w14:paraId="5A097CD2" w14:textId="77777777" w:rsidR="008423E4" w:rsidRDefault="008423E4" w:rsidP="004032AE"/>
          <w:p w14:paraId="66947C58" w14:textId="69732936" w:rsidR="007B0F45" w:rsidRDefault="00FA09FD" w:rsidP="004032AE">
            <w:pPr>
              <w:pStyle w:val="Header"/>
              <w:tabs>
                <w:tab w:val="clear" w:pos="4320"/>
                <w:tab w:val="clear" w:pos="8640"/>
              </w:tabs>
              <w:jc w:val="both"/>
            </w:pPr>
            <w:r>
              <w:t>It is the committee's opinion th</w:t>
            </w:r>
            <w:r>
              <w:t>at this resolution does not expressly grant any additional rulemaking authority to a state officer, department, agency, or institution.</w:t>
            </w:r>
          </w:p>
          <w:p w14:paraId="44D18419" w14:textId="77777777" w:rsidR="008423E4" w:rsidRPr="00E21FDC" w:rsidRDefault="008423E4" w:rsidP="004032AE">
            <w:pPr>
              <w:rPr>
                <w:b/>
              </w:rPr>
            </w:pPr>
          </w:p>
        </w:tc>
      </w:tr>
      <w:tr w:rsidR="00DB3108" w14:paraId="73A420CE" w14:textId="77777777" w:rsidTr="006262B5">
        <w:tc>
          <w:tcPr>
            <w:tcW w:w="9360" w:type="dxa"/>
          </w:tcPr>
          <w:p w14:paraId="1BDB52F7" w14:textId="77777777" w:rsidR="008423E4" w:rsidRPr="00A8133F" w:rsidRDefault="00FA09FD" w:rsidP="004032AE">
            <w:pPr>
              <w:rPr>
                <w:b/>
              </w:rPr>
            </w:pPr>
            <w:r w:rsidRPr="009C1E9A">
              <w:rPr>
                <w:b/>
                <w:u w:val="single"/>
              </w:rPr>
              <w:t>ANALYSIS</w:t>
            </w:r>
            <w:r>
              <w:rPr>
                <w:b/>
              </w:rPr>
              <w:t xml:space="preserve"> </w:t>
            </w:r>
          </w:p>
          <w:p w14:paraId="480A9B82" w14:textId="77777777" w:rsidR="008423E4" w:rsidRDefault="008423E4" w:rsidP="004032AE"/>
          <w:p w14:paraId="59FC9288" w14:textId="015920CA" w:rsidR="009C36CD" w:rsidRDefault="00FA09FD" w:rsidP="004032AE">
            <w:pPr>
              <w:pStyle w:val="Header"/>
              <w:tabs>
                <w:tab w:val="clear" w:pos="4320"/>
                <w:tab w:val="clear" w:pos="8640"/>
              </w:tabs>
              <w:jc w:val="both"/>
            </w:pPr>
            <w:r>
              <w:t xml:space="preserve">C.S.S.J.R. 75 proposes an amendment to the Texas Constitution to create </w:t>
            </w:r>
            <w:r w:rsidR="00672116">
              <w:t xml:space="preserve">the Texas </w:t>
            </w:r>
            <w:r w:rsidR="009063A5">
              <w:t>W</w:t>
            </w:r>
            <w:r w:rsidR="00672116">
              <w:t xml:space="preserve">ater </w:t>
            </w:r>
            <w:r w:rsidR="009063A5">
              <w:t>F</w:t>
            </w:r>
            <w:r w:rsidR="00672116">
              <w:t>und as a special fund in the state treasury outside the general revenue fund and administered by the Texas Water Development Board (TWDB)</w:t>
            </w:r>
            <w:r w:rsidR="001214F7">
              <w:t xml:space="preserve"> as provided by general law.</w:t>
            </w:r>
            <w:r w:rsidR="00672116">
              <w:t xml:space="preserve"> T</w:t>
            </w:r>
            <w:r w:rsidR="00672116" w:rsidRPr="00672116">
              <w:t>he</w:t>
            </w:r>
            <w:r w:rsidR="00672116">
              <w:t xml:space="preserve"> </w:t>
            </w:r>
            <w:r w:rsidR="001214F7">
              <w:t>resolution</w:t>
            </w:r>
            <w:r w:rsidR="00672116">
              <w:t xml:space="preserve"> </w:t>
            </w:r>
            <w:r w:rsidR="001214F7">
              <w:t>restricts the use of the</w:t>
            </w:r>
            <w:r w:rsidR="00AD40E9">
              <w:t xml:space="preserve"> Texas </w:t>
            </w:r>
            <w:r w:rsidR="009063A5">
              <w:t>W</w:t>
            </w:r>
            <w:r w:rsidR="00AD40E9">
              <w:t>ater</w:t>
            </w:r>
            <w:r w:rsidR="001214F7">
              <w:t xml:space="preserve"> </w:t>
            </w:r>
            <w:r w:rsidR="009063A5">
              <w:t>F</w:t>
            </w:r>
            <w:r w:rsidR="001214F7">
              <w:t xml:space="preserve">und by the fund's </w:t>
            </w:r>
            <w:r w:rsidR="00672116" w:rsidRPr="00672116">
              <w:t>administrator to</w:t>
            </w:r>
            <w:r w:rsidR="001214F7">
              <w:t xml:space="preserve"> the</w:t>
            </w:r>
            <w:r w:rsidR="00672116" w:rsidRPr="00672116">
              <w:t xml:space="preserve"> transfer </w:t>
            </w:r>
            <w:r w:rsidR="001214F7">
              <w:t xml:space="preserve">of </w:t>
            </w:r>
            <w:r w:rsidR="00672116" w:rsidRPr="00672116">
              <w:t xml:space="preserve">money to other funds or accounts administered by the </w:t>
            </w:r>
            <w:r w:rsidR="001214F7">
              <w:t>TWDB</w:t>
            </w:r>
            <w:r w:rsidR="00672116" w:rsidRPr="00672116">
              <w:t xml:space="preserve">. </w:t>
            </w:r>
            <w:r w:rsidR="00E3039A">
              <w:t>The resolution authorizes t</w:t>
            </w:r>
            <w:r w:rsidR="00672116" w:rsidRPr="00672116">
              <w:t xml:space="preserve">he administrator </w:t>
            </w:r>
            <w:r w:rsidR="00E3039A">
              <w:t>to</w:t>
            </w:r>
            <w:r w:rsidR="00672116" w:rsidRPr="00672116">
              <w:t xml:space="preserve"> restore to the </w:t>
            </w:r>
            <w:r w:rsidR="001050FC">
              <w:t xml:space="preserve">fund </w:t>
            </w:r>
            <w:r w:rsidR="00672116" w:rsidRPr="00672116">
              <w:t xml:space="preserve">money transferred from the fund and deposited to the credit of another fund or account. </w:t>
            </w:r>
            <w:r w:rsidR="001214F7" w:rsidRPr="001214F7">
              <w:t>Legislative appropriation is not required for the administrator to transfer money from or restore money to the fund</w:t>
            </w:r>
            <w:r w:rsidR="001214F7">
              <w:t>. The resolution establishes that the fund consists of the following:</w:t>
            </w:r>
          </w:p>
          <w:p w14:paraId="4139CA43" w14:textId="3EC8D623" w:rsidR="001214F7" w:rsidRDefault="00FA09FD" w:rsidP="004032AE">
            <w:pPr>
              <w:pStyle w:val="Header"/>
              <w:numPr>
                <w:ilvl w:val="0"/>
                <w:numId w:val="1"/>
              </w:numPr>
              <w:tabs>
                <w:tab w:val="clear" w:pos="4320"/>
                <w:tab w:val="clear" w:pos="8640"/>
              </w:tabs>
              <w:jc w:val="both"/>
            </w:pPr>
            <w:r w:rsidRPr="001214F7">
              <w:t>money transferred or deposited to the credit of the fund by general law, including money appropriated by the legislature directly to the fund and money from any source transferred or deposited to the credit of the fund authorized by genera</w:t>
            </w:r>
            <w:r w:rsidRPr="001214F7">
              <w:t>l law;</w:t>
            </w:r>
          </w:p>
          <w:p w14:paraId="39CBE158" w14:textId="1D24DE8D" w:rsidR="001214F7" w:rsidRDefault="00FA09FD" w:rsidP="004032AE">
            <w:pPr>
              <w:pStyle w:val="Header"/>
              <w:numPr>
                <w:ilvl w:val="0"/>
                <w:numId w:val="1"/>
              </w:numPr>
              <w:tabs>
                <w:tab w:val="clear" w:pos="4320"/>
                <w:tab w:val="clear" w:pos="8640"/>
              </w:tabs>
              <w:jc w:val="both"/>
            </w:pPr>
            <w:r w:rsidRPr="001214F7">
              <w:t>any other revenue that the legislature by statute dedicates for deposit to the credit of the fund;</w:t>
            </w:r>
          </w:p>
          <w:p w14:paraId="2A7A795A" w14:textId="008FC92F" w:rsidR="001214F7" w:rsidRDefault="00FA09FD" w:rsidP="004032AE">
            <w:pPr>
              <w:pStyle w:val="Header"/>
              <w:numPr>
                <w:ilvl w:val="0"/>
                <w:numId w:val="1"/>
              </w:numPr>
              <w:tabs>
                <w:tab w:val="clear" w:pos="4320"/>
                <w:tab w:val="clear" w:pos="8640"/>
              </w:tabs>
              <w:jc w:val="both"/>
            </w:pPr>
            <w:r w:rsidRPr="001214F7">
              <w:t>investment earnings and interest earned on amounts credited to the fund;</w:t>
            </w:r>
          </w:p>
          <w:p w14:paraId="2725C7F9" w14:textId="67482DC6" w:rsidR="001214F7" w:rsidRDefault="00FA09FD" w:rsidP="004032AE">
            <w:pPr>
              <w:pStyle w:val="Header"/>
              <w:numPr>
                <w:ilvl w:val="0"/>
                <w:numId w:val="1"/>
              </w:numPr>
              <w:tabs>
                <w:tab w:val="clear" w:pos="4320"/>
                <w:tab w:val="clear" w:pos="8640"/>
              </w:tabs>
              <w:jc w:val="both"/>
            </w:pPr>
            <w:r w:rsidRPr="001214F7">
              <w:t>money from gifts, grants, or donations to the fund; and</w:t>
            </w:r>
          </w:p>
          <w:p w14:paraId="5711014F" w14:textId="11B22DBF" w:rsidR="001214F7" w:rsidRDefault="00FA09FD" w:rsidP="004032AE">
            <w:pPr>
              <w:pStyle w:val="Header"/>
              <w:numPr>
                <w:ilvl w:val="0"/>
                <w:numId w:val="1"/>
              </w:numPr>
              <w:tabs>
                <w:tab w:val="clear" w:pos="4320"/>
                <w:tab w:val="clear" w:pos="8640"/>
              </w:tabs>
              <w:jc w:val="both"/>
            </w:pPr>
            <w:r w:rsidRPr="001214F7">
              <w:t>money returned from a</w:t>
            </w:r>
            <w:r w:rsidRPr="001214F7">
              <w:t>ny authorized transfer</w:t>
            </w:r>
            <w:r>
              <w:t>.</w:t>
            </w:r>
          </w:p>
          <w:p w14:paraId="7B91A065" w14:textId="453EC169" w:rsidR="001214F7" w:rsidRDefault="00FA09FD" w:rsidP="004032AE">
            <w:pPr>
              <w:pStyle w:val="Header"/>
              <w:tabs>
                <w:tab w:val="clear" w:pos="4320"/>
                <w:tab w:val="clear" w:pos="8640"/>
              </w:tabs>
              <w:jc w:val="both"/>
            </w:pPr>
            <w:r>
              <w:t xml:space="preserve">The resolution requires the legislature by general law to </w:t>
            </w:r>
            <w:r w:rsidRPr="001214F7">
              <w:t xml:space="preserve">provide for the manner in which money from the Texas </w:t>
            </w:r>
            <w:r w:rsidR="009063A5">
              <w:t>W</w:t>
            </w:r>
            <w:r w:rsidRPr="001214F7">
              <w:t xml:space="preserve">ater </w:t>
            </w:r>
            <w:r w:rsidR="009063A5">
              <w:t>F</w:t>
            </w:r>
            <w:r w:rsidRPr="001214F7">
              <w:t xml:space="preserve">und may be used, subject to the limitations provided by </w:t>
            </w:r>
            <w:r>
              <w:t xml:space="preserve">the resolution, and authorizes the legislature by general </w:t>
            </w:r>
            <w:r>
              <w:t xml:space="preserve">law to </w:t>
            </w:r>
            <w:r w:rsidRPr="001214F7">
              <w:t>provide for costs of investment of the fund to be paid from that fund.</w:t>
            </w:r>
          </w:p>
          <w:p w14:paraId="77FA0B9B" w14:textId="4E9C2E32" w:rsidR="001214F7" w:rsidRDefault="001214F7" w:rsidP="004032AE">
            <w:pPr>
              <w:pStyle w:val="Header"/>
              <w:tabs>
                <w:tab w:val="clear" w:pos="4320"/>
                <w:tab w:val="clear" w:pos="8640"/>
              </w:tabs>
              <w:jc w:val="both"/>
            </w:pPr>
          </w:p>
          <w:p w14:paraId="212CEF36" w14:textId="4E00540E" w:rsidR="001214F7" w:rsidRDefault="00FA09FD" w:rsidP="004032AE">
            <w:pPr>
              <w:pStyle w:val="Header"/>
              <w:jc w:val="both"/>
            </w:pPr>
            <w:r>
              <w:t xml:space="preserve">C.S.S.J.R. 75 establishes </w:t>
            </w:r>
            <w:r w:rsidR="00AD40E9">
              <w:t>the following</w:t>
            </w:r>
            <w:r>
              <w:t xml:space="preserve">, for purposes of </w:t>
            </w:r>
            <w:r w:rsidR="00BF4AB3">
              <w:t>constitutional restrictions on the rate of growth of appropriations</w:t>
            </w:r>
            <w:r w:rsidR="00AD40E9">
              <w:t xml:space="preserve">, with respect to the Texas </w:t>
            </w:r>
            <w:r w:rsidR="009063A5">
              <w:t>W</w:t>
            </w:r>
            <w:r w:rsidR="00AD40E9">
              <w:t xml:space="preserve">ater </w:t>
            </w:r>
            <w:r w:rsidR="009063A5">
              <w:t>F</w:t>
            </w:r>
            <w:r w:rsidR="00AD40E9">
              <w:t>und</w:t>
            </w:r>
            <w:r>
              <w:t>:</w:t>
            </w:r>
          </w:p>
          <w:p w14:paraId="4DD3D712" w14:textId="59826026" w:rsidR="00BF4AB3" w:rsidRDefault="00FA09FD" w:rsidP="004032AE">
            <w:pPr>
              <w:pStyle w:val="Header"/>
              <w:numPr>
                <w:ilvl w:val="0"/>
                <w:numId w:val="2"/>
              </w:numPr>
              <w:jc w:val="both"/>
            </w:pPr>
            <w:r>
              <w:t xml:space="preserve">money in the </w:t>
            </w:r>
            <w:r>
              <w:t>fund is dedicated by th</w:t>
            </w:r>
            <w:r w:rsidR="009063A5">
              <w:t>e</w:t>
            </w:r>
            <w:r>
              <w:t xml:space="preserve"> constitution; and</w:t>
            </w:r>
          </w:p>
          <w:p w14:paraId="106E9FB7" w14:textId="62D9D414" w:rsidR="00BF4AB3" w:rsidRDefault="00FA09FD" w:rsidP="004032AE">
            <w:pPr>
              <w:pStyle w:val="Header"/>
              <w:numPr>
                <w:ilvl w:val="0"/>
                <w:numId w:val="2"/>
              </w:numPr>
              <w:jc w:val="both"/>
            </w:pPr>
            <w:r>
              <w:t>an appropriation of state tax revenues for the purpose of depositing money to the credit of the fund is treated as if it were an appropriation of revenues dedicated by this constitution.</w:t>
            </w:r>
          </w:p>
          <w:p w14:paraId="58A51BCA" w14:textId="70391887" w:rsidR="001214F7" w:rsidRPr="009C36CD" w:rsidRDefault="00FA09FD" w:rsidP="004032AE">
            <w:pPr>
              <w:pStyle w:val="Header"/>
              <w:tabs>
                <w:tab w:val="clear" w:pos="4320"/>
                <w:tab w:val="clear" w:pos="8640"/>
              </w:tabs>
              <w:jc w:val="both"/>
            </w:pPr>
            <w:r>
              <w:t>The resolution requires th</w:t>
            </w:r>
            <w:r>
              <w:t>e comptroller of public accounts, on January 1, 2024, to transfer $3</w:t>
            </w:r>
            <w:r w:rsidR="00850A72">
              <w:t> </w:t>
            </w:r>
            <w:r>
              <w:t xml:space="preserve">billion of the unencumbered balance of the general revenue fund that exists on that date to the Texas </w:t>
            </w:r>
            <w:r w:rsidR="009063A5">
              <w:t>W</w:t>
            </w:r>
            <w:r>
              <w:t xml:space="preserve">ater </w:t>
            </w:r>
            <w:r w:rsidR="009063A5">
              <w:t>F</w:t>
            </w:r>
            <w:r>
              <w:t>und.</w:t>
            </w:r>
          </w:p>
          <w:p w14:paraId="498E501C" w14:textId="77777777" w:rsidR="008423E4" w:rsidRPr="00835628" w:rsidRDefault="008423E4" w:rsidP="004032AE">
            <w:pPr>
              <w:rPr>
                <w:b/>
              </w:rPr>
            </w:pPr>
          </w:p>
        </w:tc>
      </w:tr>
      <w:tr w:rsidR="00DB3108" w14:paraId="4C55DC17" w14:textId="77777777" w:rsidTr="006262B5">
        <w:tc>
          <w:tcPr>
            <w:tcW w:w="9360" w:type="dxa"/>
          </w:tcPr>
          <w:p w14:paraId="7A8B687B" w14:textId="77777777" w:rsidR="008423E4" w:rsidRPr="00A8133F" w:rsidRDefault="00FA09FD" w:rsidP="004032AE">
            <w:pPr>
              <w:rPr>
                <w:b/>
              </w:rPr>
            </w:pPr>
            <w:r>
              <w:rPr>
                <w:b/>
                <w:u w:val="single"/>
              </w:rPr>
              <w:t>ELECTION DATE</w:t>
            </w:r>
            <w:r>
              <w:rPr>
                <w:b/>
              </w:rPr>
              <w:t xml:space="preserve"> </w:t>
            </w:r>
          </w:p>
          <w:p w14:paraId="51343B62" w14:textId="77777777" w:rsidR="008423E4" w:rsidRDefault="008423E4" w:rsidP="004032AE"/>
          <w:p w14:paraId="5BD6EC73" w14:textId="1BE9911F" w:rsidR="008423E4" w:rsidRPr="003624F2" w:rsidRDefault="00FA09FD" w:rsidP="004032AE">
            <w:pPr>
              <w:pStyle w:val="Header"/>
              <w:tabs>
                <w:tab w:val="clear" w:pos="4320"/>
                <w:tab w:val="clear" w:pos="8640"/>
              </w:tabs>
              <w:jc w:val="both"/>
            </w:pPr>
            <w:r>
              <w:t xml:space="preserve">The constitutional amendment proposed by this </w:t>
            </w:r>
            <w:r>
              <w:t>joint resolution will be submitted to the voters at an election to be held November 7, 2023.</w:t>
            </w:r>
          </w:p>
          <w:p w14:paraId="5F39ED6A" w14:textId="77777777" w:rsidR="008423E4" w:rsidRPr="00233FDB" w:rsidRDefault="008423E4" w:rsidP="004032AE">
            <w:pPr>
              <w:rPr>
                <w:b/>
              </w:rPr>
            </w:pPr>
          </w:p>
        </w:tc>
      </w:tr>
      <w:tr w:rsidR="00DB3108" w14:paraId="0FB72097" w14:textId="77777777" w:rsidTr="006262B5">
        <w:tc>
          <w:tcPr>
            <w:tcW w:w="9360" w:type="dxa"/>
          </w:tcPr>
          <w:p w14:paraId="14E93D5E" w14:textId="77777777" w:rsidR="007B0F45" w:rsidRDefault="00FA09FD" w:rsidP="004032AE">
            <w:pPr>
              <w:jc w:val="both"/>
              <w:rPr>
                <w:b/>
                <w:u w:val="single"/>
              </w:rPr>
            </w:pPr>
            <w:r>
              <w:rPr>
                <w:b/>
                <w:u w:val="single"/>
              </w:rPr>
              <w:t>COMPARISON OF SENATE ENGROSSED AND SUBSTITUTE</w:t>
            </w:r>
          </w:p>
          <w:p w14:paraId="0730873E" w14:textId="77777777" w:rsidR="001631AB" w:rsidRDefault="001631AB" w:rsidP="004032AE">
            <w:pPr>
              <w:jc w:val="both"/>
            </w:pPr>
          </w:p>
          <w:p w14:paraId="6A269847" w14:textId="26546D09" w:rsidR="001631AB" w:rsidRDefault="00FA09FD" w:rsidP="004032AE">
            <w:pPr>
              <w:jc w:val="both"/>
            </w:pPr>
            <w:r>
              <w:t>While C.S.S.J.R</w:t>
            </w:r>
            <w:r w:rsidR="00CC0325">
              <w:t>.</w:t>
            </w:r>
            <w:r>
              <w:t xml:space="preserve"> 75 may differ from the engrossed in minor or nonsubstantive ways, the following summarizes the substantial differences between the engrossed and committee substitute versions of the resolution.</w:t>
            </w:r>
          </w:p>
          <w:p w14:paraId="6E17A388" w14:textId="77777777" w:rsidR="001631AB" w:rsidRDefault="001631AB" w:rsidP="004032AE">
            <w:pPr>
              <w:jc w:val="both"/>
            </w:pPr>
          </w:p>
          <w:p w14:paraId="72FABD78" w14:textId="77777777" w:rsidR="001631AB" w:rsidRDefault="00FA09FD" w:rsidP="004032AE">
            <w:pPr>
              <w:jc w:val="both"/>
            </w:pPr>
            <w:r>
              <w:t>The substitute includes the following provisions that were n</w:t>
            </w:r>
            <w:r>
              <w:t>ot present in the engrossed:</w:t>
            </w:r>
          </w:p>
          <w:p w14:paraId="1A69E7A1" w14:textId="77777777" w:rsidR="00BF4AB3" w:rsidRDefault="00FA09FD" w:rsidP="004032AE">
            <w:pPr>
              <w:pStyle w:val="ListParagraph"/>
              <w:numPr>
                <w:ilvl w:val="0"/>
                <w:numId w:val="3"/>
              </w:numPr>
              <w:contextualSpacing w:val="0"/>
              <w:jc w:val="both"/>
            </w:pPr>
            <w:r>
              <w:t>a specification that legislative appropriation is not required for the fund administrator to transfer money from the fund;</w:t>
            </w:r>
          </w:p>
          <w:p w14:paraId="486489E0" w14:textId="7793B930" w:rsidR="00696D8B" w:rsidRDefault="00FA09FD" w:rsidP="004032AE">
            <w:pPr>
              <w:pStyle w:val="ListParagraph"/>
              <w:numPr>
                <w:ilvl w:val="0"/>
                <w:numId w:val="3"/>
              </w:numPr>
              <w:contextualSpacing w:val="0"/>
              <w:jc w:val="both"/>
            </w:pPr>
            <w:r>
              <w:t>a</w:t>
            </w:r>
            <w:r w:rsidR="00B47332">
              <w:t xml:space="preserve"> specification that the </w:t>
            </w:r>
            <w:r w:rsidR="00FD400B">
              <w:t xml:space="preserve">fund consists of money appropriated by the legislature directly to the fund; and </w:t>
            </w:r>
          </w:p>
          <w:p w14:paraId="52E3FEE9" w14:textId="0E95C355" w:rsidR="00696D8B" w:rsidRPr="001631AB" w:rsidRDefault="00FA09FD" w:rsidP="004032AE">
            <w:pPr>
              <w:pStyle w:val="ListParagraph"/>
              <w:numPr>
                <w:ilvl w:val="0"/>
                <w:numId w:val="3"/>
              </w:numPr>
              <w:contextualSpacing w:val="0"/>
              <w:jc w:val="both"/>
            </w:pPr>
            <w:r>
              <w:t>a requirement</w:t>
            </w:r>
            <w:r w:rsidR="007C2927">
              <w:t>, in a temporary provision added by the substitute,</w:t>
            </w:r>
            <w:r>
              <w:t xml:space="preserve"> for the comptroller to transfer $3 billion </w:t>
            </w:r>
            <w:r w:rsidR="00FD400B">
              <w:t xml:space="preserve">of the unencumbered balance of the general revenue fund to the Texas </w:t>
            </w:r>
            <w:r w:rsidR="009063A5">
              <w:t>W</w:t>
            </w:r>
            <w:r w:rsidR="00FD400B">
              <w:t xml:space="preserve">ater </w:t>
            </w:r>
            <w:r w:rsidR="009063A5">
              <w:t>F</w:t>
            </w:r>
            <w:r w:rsidR="00FD400B">
              <w:t>und</w:t>
            </w:r>
            <w:r w:rsidR="007C2927">
              <w:t xml:space="preserve"> on January 1, 2024</w:t>
            </w:r>
            <w:r w:rsidR="00FD400B">
              <w:t>.</w:t>
            </w:r>
          </w:p>
        </w:tc>
      </w:tr>
    </w:tbl>
    <w:p w14:paraId="048D3C00" w14:textId="77777777" w:rsidR="004108C3" w:rsidRPr="006262B5" w:rsidRDefault="004108C3" w:rsidP="004032AE">
      <w:pPr>
        <w:rPr>
          <w:sz w:val="2"/>
          <w:szCs w:val="2"/>
        </w:rPr>
      </w:pPr>
    </w:p>
    <w:sectPr w:rsidR="004108C3" w:rsidRPr="006262B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7ACE" w14:textId="77777777" w:rsidR="00000000" w:rsidRDefault="00FA09FD">
      <w:r>
        <w:separator/>
      </w:r>
    </w:p>
  </w:endnote>
  <w:endnote w:type="continuationSeparator" w:id="0">
    <w:p w14:paraId="33627077" w14:textId="77777777" w:rsidR="00000000" w:rsidRDefault="00FA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36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B3108" w14:paraId="43F133C4" w14:textId="77777777" w:rsidTr="009C1E9A">
      <w:trPr>
        <w:cantSplit/>
      </w:trPr>
      <w:tc>
        <w:tcPr>
          <w:tcW w:w="0" w:type="pct"/>
        </w:tcPr>
        <w:p w14:paraId="7B56E56B" w14:textId="77777777" w:rsidR="00137D90" w:rsidRDefault="00137D90" w:rsidP="009C1E9A">
          <w:pPr>
            <w:pStyle w:val="Footer"/>
            <w:tabs>
              <w:tab w:val="clear" w:pos="8640"/>
              <w:tab w:val="right" w:pos="9360"/>
            </w:tabs>
          </w:pPr>
        </w:p>
      </w:tc>
      <w:tc>
        <w:tcPr>
          <w:tcW w:w="2395" w:type="pct"/>
        </w:tcPr>
        <w:p w14:paraId="4FAC3F05" w14:textId="77777777" w:rsidR="00137D90" w:rsidRDefault="00137D90" w:rsidP="009C1E9A">
          <w:pPr>
            <w:pStyle w:val="Footer"/>
            <w:tabs>
              <w:tab w:val="clear" w:pos="8640"/>
              <w:tab w:val="right" w:pos="9360"/>
            </w:tabs>
          </w:pPr>
        </w:p>
        <w:p w14:paraId="1DFA741E" w14:textId="77777777" w:rsidR="001A4310" w:rsidRDefault="001A4310" w:rsidP="009C1E9A">
          <w:pPr>
            <w:pStyle w:val="Footer"/>
            <w:tabs>
              <w:tab w:val="clear" w:pos="8640"/>
              <w:tab w:val="right" w:pos="9360"/>
            </w:tabs>
          </w:pPr>
        </w:p>
        <w:p w14:paraId="2C455973" w14:textId="77777777" w:rsidR="00137D90" w:rsidRDefault="00137D90" w:rsidP="009C1E9A">
          <w:pPr>
            <w:pStyle w:val="Footer"/>
            <w:tabs>
              <w:tab w:val="clear" w:pos="8640"/>
              <w:tab w:val="right" w:pos="9360"/>
            </w:tabs>
          </w:pPr>
        </w:p>
      </w:tc>
      <w:tc>
        <w:tcPr>
          <w:tcW w:w="2453" w:type="pct"/>
        </w:tcPr>
        <w:p w14:paraId="7B854D3E" w14:textId="77777777" w:rsidR="00137D90" w:rsidRDefault="00137D90" w:rsidP="009C1E9A">
          <w:pPr>
            <w:pStyle w:val="Footer"/>
            <w:tabs>
              <w:tab w:val="clear" w:pos="8640"/>
              <w:tab w:val="right" w:pos="9360"/>
            </w:tabs>
            <w:jc w:val="right"/>
          </w:pPr>
        </w:p>
      </w:tc>
    </w:tr>
    <w:tr w:rsidR="00DB3108" w14:paraId="7191DE5B" w14:textId="77777777" w:rsidTr="009C1E9A">
      <w:trPr>
        <w:cantSplit/>
      </w:trPr>
      <w:tc>
        <w:tcPr>
          <w:tcW w:w="0" w:type="pct"/>
        </w:tcPr>
        <w:p w14:paraId="175BC3F1" w14:textId="77777777" w:rsidR="00EC379B" w:rsidRDefault="00EC379B" w:rsidP="009C1E9A">
          <w:pPr>
            <w:pStyle w:val="Footer"/>
            <w:tabs>
              <w:tab w:val="clear" w:pos="8640"/>
              <w:tab w:val="right" w:pos="9360"/>
            </w:tabs>
          </w:pPr>
        </w:p>
      </w:tc>
      <w:tc>
        <w:tcPr>
          <w:tcW w:w="2395" w:type="pct"/>
        </w:tcPr>
        <w:p w14:paraId="3678B0F2" w14:textId="77777777" w:rsidR="00EC379B" w:rsidRPr="009C1E9A" w:rsidRDefault="00FA09FD"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28651-D</w:t>
          </w:r>
        </w:p>
      </w:tc>
      <w:tc>
        <w:tcPr>
          <w:tcW w:w="2453" w:type="pct"/>
        </w:tcPr>
        <w:p w14:paraId="4F28F6D3" w14:textId="609DE81A" w:rsidR="00EC379B" w:rsidRDefault="00FA09FD" w:rsidP="009C1E9A">
          <w:pPr>
            <w:pStyle w:val="Footer"/>
            <w:tabs>
              <w:tab w:val="clear" w:pos="8640"/>
              <w:tab w:val="right" w:pos="9360"/>
            </w:tabs>
            <w:jc w:val="right"/>
          </w:pPr>
          <w:r>
            <w:fldChar w:fldCharType="begin"/>
          </w:r>
          <w:r>
            <w:instrText xml:space="preserve"> DOCPROPERTY  OTID  \* MERGEFORMAT </w:instrText>
          </w:r>
          <w:r>
            <w:fldChar w:fldCharType="separate"/>
          </w:r>
          <w:r w:rsidR="004032AE">
            <w:t>23.128.1387</w:t>
          </w:r>
          <w:r>
            <w:fldChar w:fldCharType="end"/>
          </w:r>
        </w:p>
      </w:tc>
    </w:tr>
    <w:tr w:rsidR="00DB3108" w14:paraId="17C5D109" w14:textId="77777777" w:rsidTr="009C1E9A">
      <w:trPr>
        <w:cantSplit/>
      </w:trPr>
      <w:tc>
        <w:tcPr>
          <w:tcW w:w="0" w:type="pct"/>
        </w:tcPr>
        <w:p w14:paraId="040C43DF" w14:textId="77777777" w:rsidR="00EC379B" w:rsidRDefault="00EC379B" w:rsidP="009C1E9A">
          <w:pPr>
            <w:pStyle w:val="Footer"/>
            <w:tabs>
              <w:tab w:val="clear" w:pos="4320"/>
              <w:tab w:val="clear" w:pos="8640"/>
              <w:tab w:val="left" w:pos="2865"/>
            </w:tabs>
          </w:pPr>
        </w:p>
      </w:tc>
      <w:tc>
        <w:tcPr>
          <w:tcW w:w="2395" w:type="pct"/>
        </w:tcPr>
        <w:p w14:paraId="65946A65" w14:textId="77777777" w:rsidR="00EC379B" w:rsidRPr="009C1E9A" w:rsidRDefault="00FA09FD" w:rsidP="009C1E9A">
          <w:pPr>
            <w:pStyle w:val="Footer"/>
            <w:tabs>
              <w:tab w:val="clear" w:pos="4320"/>
              <w:tab w:val="clear" w:pos="8640"/>
              <w:tab w:val="left" w:pos="2865"/>
            </w:tabs>
            <w:rPr>
              <w:rFonts w:ascii="Shruti" w:hAnsi="Shruti"/>
              <w:sz w:val="22"/>
            </w:rPr>
          </w:pPr>
          <w:r>
            <w:rPr>
              <w:rFonts w:ascii="Shruti" w:hAnsi="Shruti"/>
              <w:sz w:val="22"/>
            </w:rPr>
            <w:t>Substitute Document Number: 88R 26838</w:t>
          </w:r>
        </w:p>
      </w:tc>
      <w:tc>
        <w:tcPr>
          <w:tcW w:w="2453" w:type="pct"/>
        </w:tcPr>
        <w:p w14:paraId="09C2A13A" w14:textId="77777777" w:rsidR="00EC379B" w:rsidRDefault="00EC379B" w:rsidP="006D504F">
          <w:pPr>
            <w:pStyle w:val="Footer"/>
            <w:rPr>
              <w:rStyle w:val="PageNumber"/>
            </w:rPr>
          </w:pPr>
        </w:p>
        <w:p w14:paraId="0AAFDD34" w14:textId="77777777" w:rsidR="00EC379B" w:rsidRDefault="00EC379B" w:rsidP="009C1E9A">
          <w:pPr>
            <w:pStyle w:val="Footer"/>
            <w:tabs>
              <w:tab w:val="clear" w:pos="8640"/>
              <w:tab w:val="right" w:pos="9360"/>
            </w:tabs>
            <w:jc w:val="right"/>
          </w:pPr>
        </w:p>
      </w:tc>
    </w:tr>
    <w:tr w:rsidR="00DB3108" w14:paraId="34B9FA98" w14:textId="77777777" w:rsidTr="009C1E9A">
      <w:trPr>
        <w:cantSplit/>
        <w:trHeight w:val="323"/>
      </w:trPr>
      <w:tc>
        <w:tcPr>
          <w:tcW w:w="0" w:type="pct"/>
          <w:gridSpan w:val="3"/>
        </w:tcPr>
        <w:p w14:paraId="1AF10224" w14:textId="77777777" w:rsidR="00EC379B" w:rsidRDefault="00FA09F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AEBD793" w14:textId="77777777" w:rsidR="00EC379B" w:rsidRDefault="00EC379B" w:rsidP="009C1E9A">
          <w:pPr>
            <w:pStyle w:val="Footer"/>
            <w:tabs>
              <w:tab w:val="clear" w:pos="8640"/>
              <w:tab w:val="right" w:pos="9360"/>
            </w:tabs>
            <w:jc w:val="center"/>
          </w:pPr>
        </w:p>
      </w:tc>
    </w:tr>
  </w:tbl>
  <w:p w14:paraId="5DCF6B0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023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46FD" w14:textId="77777777" w:rsidR="00000000" w:rsidRDefault="00FA09FD">
      <w:r>
        <w:separator/>
      </w:r>
    </w:p>
  </w:footnote>
  <w:footnote w:type="continuationSeparator" w:id="0">
    <w:p w14:paraId="0B26DBE3" w14:textId="77777777" w:rsidR="00000000" w:rsidRDefault="00FA0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206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1A4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B45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90823"/>
    <w:multiLevelType w:val="hybridMultilevel"/>
    <w:tmpl w:val="A5D207AC"/>
    <w:lvl w:ilvl="0" w:tplc="47806464">
      <w:start w:val="1"/>
      <w:numFmt w:val="bullet"/>
      <w:lvlText w:val=""/>
      <w:lvlJc w:val="left"/>
      <w:pPr>
        <w:tabs>
          <w:tab w:val="num" w:pos="720"/>
        </w:tabs>
        <w:ind w:left="720" w:hanging="360"/>
      </w:pPr>
      <w:rPr>
        <w:rFonts w:ascii="Symbol" w:hAnsi="Symbol" w:hint="default"/>
      </w:rPr>
    </w:lvl>
    <w:lvl w:ilvl="1" w:tplc="B4BAEE58" w:tentative="1">
      <w:start w:val="1"/>
      <w:numFmt w:val="bullet"/>
      <w:lvlText w:val="o"/>
      <w:lvlJc w:val="left"/>
      <w:pPr>
        <w:ind w:left="1440" w:hanging="360"/>
      </w:pPr>
      <w:rPr>
        <w:rFonts w:ascii="Courier New" w:hAnsi="Courier New" w:cs="Courier New" w:hint="default"/>
      </w:rPr>
    </w:lvl>
    <w:lvl w:ilvl="2" w:tplc="6B24AA88" w:tentative="1">
      <w:start w:val="1"/>
      <w:numFmt w:val="bullet"/>
      <w:lvlText w:val=""/>
      <w:lvlJc w:val="left"/>
      <w:pPr>
        <w:ind w:left="2160" w:hanging="360"/>
      </w:pPr>
      <w:rPr>
        <w:rFonts w:ascii="Wingdings" w:hAnsi="Wingdings" w:hint="default"/>
      </w:rPr>
    </w:lvl>
    <w:lvl w:ilvl="3" w:tplc="B93CCAA8" w:tentative="1">
      <w:start w:val="1"/>
      <w:numFmt w:val="bullet"/>
      <w:lvlText w:val=""/>
      <w:lvlJc w:val="left"/>
      <w:pPr>
        <w:ind w:left="2880" w:hanging="360"/>
      </w:pPr>
      <w:rPr>
        <w:rFonts w:ascii="Symbol" w:hAnsi="Symbol" w:hint="default"/>
      </w:rPr>
    </w:lvl>
    <w:lvl w:ilvl="4" w:tplc="31EC89F8" w:tentative="1">
      <w:start w:val="1"/>
      <w:numFmt w:val="bullet"/>
      <w:lvlText w:val="o"/>
      <w:lvlJc w:val="left"/>
      <w:pPr>
        <w:ind w:left="3600" w:hanging="360"/>
      </w:pPr>
      <w:rPr>
        <w:rFonts w:ascii="Courier New" w:hAnsi="Courier New" w:cs="Courier New" w:hint="default"/>
      </w:rPr>
    </w:lvl>
    <w:lvl w:ilvl="5" w:tplc="5184A4A0" w:tentative="1">
      <w:start w:val="1"/>
      <w:numFmt w:val="bullet"/>
      <w:lvlText w:val=""/>
      <w:lvlJc w:val="left"/>
      <w:pPr>
        <w:ind w:left="4320" w:hanging="360"/>
      </w:pPr>
      <w:rPr>
        <w:rFonts w:ascii="Wingdings" w:hAnsi="Wingdings" w:hint="default"/>
      </w:rPr>
    </w:lvl>
    <w:lvl w:ilvl="6" w:tplc="071299F8" w:tentative="1">
      <w:start w:val="1"/>
      <w:numFmt w:val="bullet"/>
      <w:lvlText w:val=""/>
      <w:lvlJc w:val="left"/>
      <w:pPr>
        <w:ind w:left="5040" w:hanging="360"/>
      </w:pPr>
      <w:rPr>
        <w:rFonts w:ascii="Symbol" w:hAnsi="Symbol" w:hint="default"/>
      </w:rPr>
    </w:lvl>
    <w:lvl w:ilvl="7" w:tplc="42A667AA" w:tentative="1">
      <w:start w:val="1"/>
      <w:numFmt w:val="bullet"/>
      <w:lvlText w:val="o"/>
      <w:lvlJc w:val="left"/>
      <w:pPr>
        <w:ind w:left="5760" w:hanging="360"/>
      </w:pPr>
      <w:rPr>
        <w:rFonts w:ascii="Courier New" w:hAnsi="Courier New" w:cs="Courier New" w:hint="default"/>
      </w:rPr>
    </w:lvl>
    <w:lvl w:ilvl="8" w:tplc="54F6B73C" w:tentative="1">
      <w:start w:val="1"/>
      <w:numFmt w:val="bullet"/>
      <w:lvlText w:val=""/>
      <w:lvlJc w:val="left"/>
      <w:pPr>
        <w:ind w:left="6480" w:hanging="360"/>
      </w:pPr>
      <w:rPr>
        <w:rFonts w:ascii="Wingdings" w:hAnsi="Wingdings" w:hint="default"/>
      </w:rPr>
    </w:lvl>
  </w:abstractNum>
  <w:abstractNum w:abstractNumId="1" w15:restartNumberingAfterBreak="0">
    <w:nsid w:val="4E083CAC"/>
    <w:multiLevelType w:val="hybridMultilevel"/>
    <w:tmpl w:val="87265C4E"/>
    <w:lvl w:ilvl="0" w:tplc="EB7C7272">
      <w:start w:val="1"/>
      <w:numFmt w:val="bullet"/>
      <w:lvlText w:val=""/>
      <w:lvlJc w:val="left"/>
      <w:pPr>
        <w:tabs>
          <w:tab w:val="num" w:pos="720"/>
        </w:tabs>
        <w:ind w:left="720" w:hanging="360"/>
      </w:pPr>
      <w:rPr>
        <w:rFonts w:ascii="Symbol" w:hAnsi="Symbol" w:hint="default"/>
      </w:rPr>
    </w:lvl>
    <w:lvl w:ilvl="1" w:tplc="225C9732" w:tentative="1">
      <w:start w:val="1"/>
      <w:numFmt w:val="bullet"/>
      <w:lvlText w:val="o"/>
      <w:lvlJc w:val="left"/>
      <w:pPr>
        <w:ind w:left="1440" w:hanging="360"/>
      </w:pPr>
      <w:rPr>
        <w:rFonts w:ascii="Courier New" w:hAnsi="Courier New" w:cs="Courier New" w:hint="default"/>
      </w:rPr>
    </w:lvl>
    <w:lvl w:ilvl="2" w:tplc="E826B4B8" w:tentative="1">
      <w:start w:val="1"/>
      <w:numFmt w:val="bullet"/>
      <w:lvlText w:val=""/>
      <w:lvlJc w:val="left"/>
      <w:pPr>
        <w:ind w:left="2160" w:hanging="360"/>
      </w:pPr>
      <w:rPr>
        <w:rFonts w:ascii="Wingdings" w:hAnsi="Wingdings" w:hint="default"/>
      </w:rPr>
    </w:lvl>
    <w:lvl w:ilvl="3" w:tplc="8B060A9A" w:tentative="1">
      <w:start w:val="1"/>
      <w:numFmt w:val="bullet"/>
      <w:lvlText w:val=""/>
      <w:lvlJc w:val="left"/>
      <w:pPr>
        <w:ind w:left="2880" w:hanging="360"/>
      </w:pPr>
      <w:rPr>
        <w:rFonts w:ascii="Symbol" w:hAnsi="Symbol" w:hint="default"/>
      </w:rPr>
    </w:lvl>
    <w:lvl w:ilvl="4" w:tplc="1FAEA89E" w:tentative="1">
      <w:start w:val="1"/>
      <w:numFmt w:val="bullet"/>
      <w:lvlText w:val="o"/>
      <w:lvlJc w:val="left"/>
      <w:pPr>
        <w:ind w:left="3600" w:hanging="360"/>
      </w:pPr>
      <w:rPr>
        <w:rFonts w:ascii="Courier New" w:hAnsi="Courier New" w:cs="Courier New" w:hint="default"/>
      </w:rPr>
    </w:lvl>
    <w:lvl w:ilvl="5" w:tplc="68029052" w:tentative="1">
      <w:start w:val="1"/>
      <w:numFmt w:val="bullet"/>
      <w:lvlText w:val=""/>
      <w:lvlJc w:val="left"/>
      <w:pPr>
        <w:ind w:left="4320" w:hanging="360"/>
      </w:pPr>
      <w:rPr>
        <w:rFonts w:ascii="Wingdings" w:hAnsi="Wingdings" w:hint="default"/>
      </w:rPr>
    </w:lvl>
    <w:lvl w:ilvl="6" w:tplc="3864BCF6" w:tentative="1">
      <w:start w:val="1"/>
      <w:numFmt w:val="bullet"/>
      <w:lvlText w:val=""/>
      <w:lvlJc w:val="left"/>
      <w:pPr>
        <w:ind w:left="5040" w:hanging="360"/>
      </w:pPr>
      <w:rPr>
        <w:rFonts w:ascii="Symbol" w:hAnsi="Symbol" w:hint="default"/>
      </w:rPr>
    </w:lvl>
    <w:lvl w:ilvl="7" w:tplc="9DD0D20C" w:tentative="1">
      <w:start w:val="1"/>
      <w:numFmt w:val="bullet"/>
      <w:lvlText w:val="o"/>
      <w:lvlJc w:val="left"/>
      <w:pPr>
        <w:ind w:left="5760" w:hanging="360"/>
      </w:pPr>
      <w:rPr>
        <w:rFonts w:ascii="Courier New" w:hAnsi="Courier New" w:cs="Courier New" w:hint="default"/>
      </w:rPr>
    </w:lvl>
    <w:lvl w:ilvl="8" w:tplc="8D403ADA" w:tentative="1">
      <w:start w:val="1"/>
      <w:numFmt w:val="bullet"/>
      <w:lvlText w:val=""/>
      <w:lvlJc w:val="left"/>
      <w:pPr>
        <w:ind w:left="6480" w:hanging="360"/>
      </w:pPr>
      <w:rPr>
        <w:rFonts w:ascii="Wingdings" w:hAnsi="Wingdings" w:hint="default"/>
      </w:rPr>
    </w:lvl>
  </w:abstractNum>
  <w:abstractNum w:abstractNumId="2" w15:restartNumberingAfterBreak="0">
    <w:nsid w:val="73CF0F39"/>
    <w:multiLevelType w:val="hybridMultilevel"/>
    <w:tmpl w:val="5802B550"/>
    <w:lvl w:ilvl="0" w:tplc="031803FE">
      <w:start w:val="1"/>
      <w:numFmt w:val="bullet"/>
      <w:lvlText w:val=""/>
      <w:lvlJc w:val="left"/>
      <w:pPr>
        <w:tabs>
          <w:tab w:val="num" w:pos="720"/>
        </w:tabs>
        <w:ind w:left="720" w:hanging="360"/>
      </w:pPr>
      <w:rPr>
        <w:rFonts w:ascii="Symbol" w:hAnsi="Symbol" w:hint="default"/>
      </w:rPr>
    </w:lvl>
    <w:lvl w:ilvl="1" w:tplc="922AEBBC" w:tentative="1">
      <w:start w:val="1"/>
      <w:numFmt w:val="bullet"/>
      <w:lvlText w:val="o"/>
      <w:lvlJc w:val="left"/>
      <w:pPr>
        <w:ind w:left="1440" w:hanging="360"/>
      </w:pPr>
      <w:rPr>
        <w:rFonts w:ascii="Courier New" w:hAnsi="Courier New" w:cs="Courier New" w:hint="default"/>
      </w:rPr>
    </w:lvl>
    <w:lvl w:ilvl="2" w:tplc="4300AD16" w:tentative="1">
      <w:start w:val="1"/>
      <w:numFmt w:val="bullet"/>
      <w:lvlText w:val=""/>
      <w:lvlJc w:val="left"/>
      <w:pPr>
        <w:ind w:left="2160" w:hanging="360"/>
      </w:pPr>
      <w:rPr>
        <w:rFonts w:ascii="Wingdings" w:hAnsi="Wingdings" w:hint="default"/>
      </w:rPr>
    </w:lvl>
    <w:lvl w:ilvl="3" w:tplc="93406446" w:tentative="1">
      <w:start w:val="1"/>
      <w:numFmt w:val="bullet"/>
      <w:lvlText w:val=""/>
      <w:lvlJc w:val="left"/>
      <w:pPr>
        <w:ind w:left="2880" w:hanging="360"/>
      </w:pPr>
      <w:rPr>
        <w:rFonts w:ascii="Symbol" w:hAnsi="Symbol" w:hint="default"/>
      </w:rPr>
    </w:lvl>
    <w:lvl w:ilvl="4" w:tplc="6402FF44" w:tentative="1">
      <w:start w:val="1"/>
      <w:numFmt w:val="bullet"/>
      <w:lvlText w:val="o"/>
      <w:lvlJc w:val="left"/>
      <w:pPr>
        <w:ind w:left="3600" w:hanging="360"/>
      </w:pPr>
      <w:rPr>
        <w:rFonts w:ascii="Courier New" w:hAnsi="Courier New" w:cs="Courier New" w:hint="default"/>
      </w:rPr>
    </w:lvl>
    <w:lvl w:ilvl="5" w:tplc="A10CEF5E" w:tentative="1">
      <w:start w:val="1"/>
      <w:numFmt w:val="bullet"/>
      <w:lvlText w:val=""/>
      <w:lvlJc w:val="left"/>
      <w:pPr>
        <w:ind w:left="4320" w:hanging="360"/>
      </w:pPr>
      <w:rPr>
        <w:rFonts w:ascii="Wingdings" w:hAnsi="Wingdings" w:hint="default"/>
      </w:rPr>
    </w:lvl>
    <w:lvl w:ilvl="6" w:tplc="7998392C" w:tentative="1">
      <w:start w:val="1"/>
      <w:numFmt w:val="bullet"/>
      <w:lvlText w:val=""/>
      <w:lvlJc w:val="left"/>
      <w:pPr>
        <w:ind w:left="5040" w:hanging="360"/>
      </w:pPr>
      <w:rPr>
        <w:rFonts w:ascii="Symbol" w:hAnsi="Symbol" w:hint="default"/>
      </w:rPr>
    </w:lvl>
    <w:lvl w:ilvl="7" w:tplc="BB729DBE" w:tentative="1">
      <w:start w:val="1"/>
      <w:numFmt w:val="bullet"/>
      <w:lvlText w:val="o"/>
      <w:lvlJc w:val="left"/>
      <w:pPr>
        <w:ind w:left="5760" w:hanging="360"/>
      </w:pPr>
      <w:rPr>
        <w:rFonts w:ascii="Courier New" w:hAnsi="Courier New" w:cs="Courier New" w:hint="default"/>
      </w:rPr>
    </w:lvl>
    <w:lvl w:ilvl="8" w:tplc="EBF0F25E" w:tentative="1">
      <w:start w:val="1"/>
      <w:numFmt w:val="bullet"/>
      <w:lvlText w:val=""/>
      <w:lvlJc w:val="left"/>
      <w:pPr>
        <w:ind w:left="6480" w:hanging="360"/>
      </w:pPr>
      <w:rPr>
        <w:rFonts w:ascii="Wingdings" w:hAnsi="Wingdings" w:hint="default"/>
      </w:rPr>
    </w:lvl>
  </w:abstractNum>
  <w:num w:numId="1" w16cid:durableId="210728389">
    <w:abstractNumId w:val="1"/>
  </w:num>
  <w:num w:numId="2" w16cid:durableId="979925385">
    <w:abstractNumId w:val="0"/>
  </w:num>
  <w:num w:numId="3" w16cid:durableId="336351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4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019"/>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0FC"/>
    <w:rsid w:val="00110F8C"/>
    <w:rsid w:val="0011274A"/>
    <w:rsid w:val="00113522"/>
    <w:rsid w:val="0011378D"/>
    <w:rsid w:val="00115EE9"/>
    <w:rsid w:val="001169F9"/>
    <w:rsid w:val="00120797"/>
    <w:rsid w:val="001214F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1AB"/>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F34"/>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B34"/>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6DC"/>
    <w:rsid w:val="003F286A"/>
    <w:rsid w:val="003F77F8"/>
    <w:rsid w:val="00400ACD"/>
    <w:rsid w:val="004032AE"/>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CDB"/>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2B5"/>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116"/>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6D8B"/>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223"/>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F45"/>
    <w:rsid w:val="007B30B1"/>
    <w:rsid w:val="007B4FCA"/>
    <w:rsid w:val="007B7B85"/>
    <w:rsid w:val="007C2927"/>
    <w:rsid w:val="007C462E"/>
    <w:rsid w:val="007C496B"/>
    <w:rsid w:val="007C6803"/>
    <w:rsid w:val="007D2892"/>
    <w:rsid w:val="007D2DCC"/>
    <w:rsid w:val="007D47E1"/>
    <w:rsid w:val="007D7FCB"/>
    <w:rsid w:val="007E0399"/>
    <w:rsid w:val="007E33B6"/>
    <w:rsid w:val="007E59E8"/>
    <w:rsid w:val="007E683A"/>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A72"/>
    <w:rsid w:val="00850CF0"/>
    <w:rsid w:val="00851869"/>
    <w:rsid w:val="00851C04"/>
    <w:rsid w:val="008531A1"/>
    <w:rsid w:val="00853A94"/>
    <w:rsid w:val="008547A3"/>
    <w:rsid w:val="0085797D"/>
    <w:rsid w:val="00860020"/>
    <w:rsid w:val="008618E7"/>
    <w:rsid w:val="00861995"/>
    <w:rsid w:val="0086231A"/>
    <w:rsid w:val="00863759"/>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3A5"/>
    <w:rsid w:val="00907780"/>
    <w:rsid w:val="00907EDD"/>
    <w:rsid w:val="009107AD"/>
    <w:rsid w:val="00915568"/>
    <w:rsid w:val="00917E0C"/>
    <w:rsid w:val="00920711"/>
    <w:rsid w:val="00920EB5"/>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3556"/>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6B4C"/>
    <w:rsid w:val="00AD304B"/>
    <w:rsid w:val="00AD40E9"/>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37F6"/>
    <w:rsid w:val="00B25612"/>
    <w:rsid w:val="00B26437"/>
    <w:rsid w:val="00B2678E"/>
    <w:rsid w:val="00B30647"/>
    <w:rsid w:val="00B31F0E"/>
    <w:rsid w:val="00B34F25"/>
    <w:rsid w:val="00B43672"/>
    <w:rsid w:val="00B4733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AB3"/>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325"/>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08"/>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599"/>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39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9FD"/>
    <w:rsid w:val="00FA32FC"/>
    <w:rsid w:val="00FA59FD"/>
    <w:rsid w:val="00FA5D8C"/>
    <w:rsid w:val="00FA6403"/>
    <w:rsid w:val="00FB16CD"/>
    <w:rsid w:val="00FB23AE"/>
    <w:rsid w:val="00FB73AE"/>
    <w:rsid w:val="00FC5388"/>
    <w:rsid w:val="00FC726C"/>
    <w:rsid w:val="00FD1B4B"/>
    <w:rsid w:val="00FD1B94"/>
    <w:rsid w:val="00FD400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C38FE0-23F0-49F8-AEE0-5E4A653A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F4AB3"/>
    <w:rPr>
      <w:sz w:val="16"/>
      <w:szCs w:val="16"/>
    </w:rPr>
  </w:style>
  <w:style w:type="paragraph" w:styleId="CommentText">
    <w:name w:val="annotation text"/>
    <w:basedOn w:val="Normal"/>
    <w:link w:val="CommentTextChar"/>
    <w:semiHidden/>
    <w:unhideWhenUsed/>
    <w:rsid w:val="00BF4AB3"/>
    <w:rPr>
      <w:sz w:val="20"/>
      <w:szCs w:val="20"/>
    </w:rPr>
  </w:style>
  <w:style w:type="character" w:customStyle="1" w:styleId="CommentTextChar">
    <w:name w:val="Comment Text Char"/>
    <w:basedOn w:val="DefaultParagraphFont"/>
    <w:link w:val="CommentText"/>
    <w:semiHidden/>
    <w:rsid w:val="00BF4AB3"/>
  </w:style>
  <w:style w:type="paragraph" w:styleId="CommentSubject">
    <w:name w:val="annotation subject"/>
    <w:basedOn w:val="CommentText"/>
    <w:next w:val="CommentText"/>
    <w:link w:val="CommentSubjectChar"/>
    <w:semiHidden/>
    <w:unhideWhenUsed/>
    <w:rsid w:val="00BF4AB3"/>
    <w:rPr>
      <w:b/>
      <w:bCs/>
    </w:rPr>
  </w:style>
  <w:style w:type="character" w:customStyle="1" w:styleId="CommentSubjectChar">
    <w:name w:val="Comment Subject Char"/>
    <w:basedOn w:val="CommentTextChar"/>
    <w:link w:val="CommentSubject"/>
    <w:semiHidden/>
    <w:rsid w:val="00BF4AB3"/>
    <w:rPr>
      <w:b/>
      <w:bCs/>
    </w:rPr>
  </w:style>
  <w:style w:type="paragraph" w:styleId="ListParagraph">
    <w:name w:val="List Paragraph"/>
    <w:basedOn w:val="Normal"/>
    <w:uiPriority w:val="34"/>
    <w:qFormat/>
    <w:rsid w:val="00BF4AB3"/>
    <w:pPr>
      <w:ind w:left="720"/>
      <w:contextualSpacing/>
    </w:pPr>
  </w:style>
  <w:style w:type="character" w:styleId="Hyperlink">
    <w:name w:val="Hyperlink"/>
    <w:basedOn w:val="DefaultParagraphFont"/>
    <w:unhideWhenUsed/>
    <w:rsid w:val="00FD400B"/>
    <w:rPr>
      <w:color w:val="0000FF" w:themeColor="hyperlink"/>
      <w:u w:val="single"/>
    </w:rPr>
  </w:style>
  <w:style w:type="character" w:customStyle="1" w:styleId="UnresolvedMention1">
    <w:name w:val="Unresolved Mention1"/>
    <w:basedOn w:val="DefaultParagraphFont"/>
    <w:uiPriority w:val="99"/>
    <w:semiHidden/>
    <w:unhideWhenUsed/>
    <w:rsid w:val="00FD400B"/>
    <w:rPr>
      <w:color w:val="605E5C"/>
      <w:shd w:val="clear" w:color="auto" w:fill="E1DFDD"/>
    </w:rPr>
  </w:style>
  <w:style w:type="paragraph" w:styleId="Revision">
    <w:name w:val="Revision"/>
    <w:hidden/>
    <w:uiPriority w:val="99"/>
    <w:semiHidden/>
    <w:rsid w:val="00FD40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4212</Characters>
  <Application>Microsoft Office Word</Application>
  <DocSecurity>4</DocSecurity>
  <Lines>92</Lines>
  <Paragraphs>32</Paragraphs>
  <ScaleCrop>false</ScaleCrop>
  <HeadingPairs>
    <vt:vector size="2" baseType="variant">
      <vt:variant>
        <vt:lpstr>Title</vt:lpstr>
      </vt:variant>
      <vt:variant>
        <vt:i4>1</vt:i4>
      </vt:variant>
    </vt:vector>
  </HeadingPairs>
  <TitlesOfParts>
    <vt:vector size="1" baseType="lpstr">
      <vt:lpstr>BA - SJR00075 (Committee Report (Substituted))</vt:lpstr>
    </vt:vector>
  </TitlesOfParts>
  <Company>State of Texas</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28651</dc:subject>
  <dc:creator>State of Texas</dc:creator>
  <dc:description>SJR 75 by Perry-(H)Natural Resources (Substitute Document Number: 88R 26838)</dc:description>
  <cp:lastModifiedBy>Stacey Nicchio</cp:lastModifiedBy>
  <cp:revision>2</cp:revision>
  <cp:lastPrinted>2003-11-26T17:21:00Z</cp:lastPrinted>
  <dcterms:created xsi:type="dcterms:W3CDTF">2023-05-11T21:29:00Z</dcterms:created>
  <dcterms:modified xsi:type="dcterms:W3CDTF">2023-05-11T21:29:00Z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23.128.1387</vt:lpwstr>
  </property>
</Properties>
</file>