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2D5220" w14:paraId="0110F1C4" w14:textId="77777777" w:rsidTr="00345119">
        <w:tc>
          <w:tcPr>
            <w:tcW w:w="9576" w:type="dxa"/>
            <w:noWrap/>
          </w:tcPr>
          <w:p w14:paraId="799916E9" w14:textId="77777777" w:rsidR="008423E4" w:rsidRPr="0022177D" w:rsidRDefault="00CC2EAC" w:rsidP="002F287F">
            <w:pPr>
              <w:pStyle w:val="Heading1"/>
            </w:pPr>
            <w:r>
              <w:t>RESOLUTION ANALYSIS</w:t>
            </w:r>
          </w:p>
        </w:tc>
      </w:tr>
    </w:tbl>
    <w:p w14:paraId="0217AF45" w14:textId="77777777" w:rsidR="008423E4" w:rsidRPr="0022177D" w:rsidRDefault="008423E4" w:rsidP="002F287F">
      <w:pPr>
        <w:jc w:val="center"/>
      </w:pPr>
    </w:p>
    <w:p w14:paraId="61AB8CFC" w14:textId="77777777" w:rsidR="008423E4" w:rsidRPr="00B31F0E" w:rsidRDefault="008423E4" w:rsidP="002F287F"/>
    <w:p w14:paraId="0D4C7740" w14:textId="77777777" w:rsidR="008423E4" w:rsidRPr="00742794" w:rsidRDefault="008423E4" w:rsidP="002F287F">
      <w:pPr>
        <w:tabs>
          <w:tab w:val="right" w:pos="9360"/>
        </w:tabs>
      </w:pPr>
    </w:p>
    <w:tbl>
      <w:tblPr>
        <w:tblW w:w="0" w:type="auto"/>
        <w:tblLayout w:type="fixed"/>
        <w:tblLook w:val="01E0" w:firstRow="1" w:lastRow="1" w:firstColumn="1" w:lastColumn="1" w:noHBand="0" w:noVBand="0"/>
      </w:tblPr>
      <w:tblGrid>
        <w:gridCol w:w="9576"/>
      </w:tblGrid>
      <w:tr w:rsidR="002D5220" w14:paraId="7213205B" w14:textId="77777777" w:rsidTr="00345119">
        <w:tc>
          <w:tcPr>
            <w:tcW w:w="9576" w:type="dxa"/>
          </w:tcPr>
          <w:p w14:paraId="4987995B" w14:textId="75F300DD" w:rsidR="008423E4" w:rsidRPr="00861995" w:rsidRDefault="00CC2EAC" w:rsidP="002F287F">
            <w:pPr>
              <w:jc w:val="right"/>
            </w:pPr>
            <w:r>
              <w:t>C.S.S.J.R. 93</w:t>
            </w:r>
          </w:p>
        </w:tc>
      </w:tr>
      <w:tr w:rsidR="002D5220" w14:paraId="76B43D6E" w14:textId="77777777" w:rsidTr="00345119">
        <w:tc>
          <w:tcPr>
            <w:tcW w:w="9576" w:type="dxa"/>
          </w:tcPr>
          <w:p w14:paraId="62CD3D44" w14:textId="5F3124B0" w:rsidR="008423E4" w:rsidRPr="00861995" w:rsidRDefault="00CC2EAC" w:rsidP="002F287F">
            <w:pPr>
              <w:jc w:val="right"/>
            </w:pPr>
            <w:r>
              <w:t xml:space="preserve">By: </w:t>
            </w:r>
            <w:r w:rsidR="00DA47D1">
              <w:t>Schwertner</w:t>
            </w:r>
          </w:p>
        </w:tc>
      </w:tr>
      <w:tr w:rsidR="002D5220" w14:paraId="1B623DBB" w14:textId="77777777" w:rsidTr="00345119">
        <w:tc>
          <w:tcPr>
            <w:tcW w:w="9576" w:type="dxa"/>
          </w:tcPr>
          <w:p w14:paraId="7BA59C18" w14:textId="5C4279BF" w:rsidR="008423E4" w:rsidRPr="00861995" w:rsidRDefault="00CC2EAC" w:rsidP="002F287F">
            <w:pPr>
              <w:jc w:val="right"/>
            </w:pPr>
            <w:r>
              <w:t>State Affairs</w:t>
            </w:r>
          </w:p>
        </w:tc>
      </w:tr>
      <w:tr w:rsidR="002D5220" w14:paraId="108E108A" w14:textId="77777777" w:rsidTr="00345119">
        <w:tc>
          <w:tcPr>
            <w:tcW w:w="9576" w:type="dxa"/>
          </w:tcPr>
          <w:p w14:paraId="22E6EFE6" w14:textId="3088698B" w:rsidR="008423E4" w:rsidRDefault="00CC2EAC" w:rsidP="002F287F">
            <w:pPr>
              <w:jc w:val="right"/>
            </w:pPr>
            <w:r>
              <w:t>Committee Report (Substituted)</w:t>
            </w:r>
          </w:p>
        </w:tc>
      </w:tr>
    </w:tbl>
    <w:p w14:paraId="351D4AA3" w14:textId="77777777" w:rsidR="008423E4" w:rsidRDefault="008423E4" w:rsidP="002F287F">
      <w:pPr>
        <w:tabs>
          <w:tab w:val="right" w:pos="9360"/>
        </w:tabs>
      </w:pPr>
    </w:p>
    <w:p w14:paraId="3FC51426" w14:textId="77777777" w:rsidR="008423E4" w:rsidRDefault="008423E4" w:rsidP="002F287F"/>
    <w:p w14:paraId="06A2D3D8" w14:textId="77777777" w:rsidR="008423E4" w:rsidRDefault="008423E4" w:rsidP="002F287F"/>
    <w:tbl>
      <w:tblPr>
        <w:tblW w:w="0" w:type="auto"/>
        <w:tblCellMar>
          <w:left w:w="115" w:type="dxa"/>
          <w:right w:w="115" w:type="dxa"/>
        </w:tblCellMar>
        <w:tblLook w:val="01E0" w:firstRow="1" w:lastRow="1" w:firstColumn="1" w:lastColumn="1" w:noHBand="0" w:noVBand="0"/>
      </w:tblPr>
      <w:tblGrid>
        <w:gridCol w:w="9360"/>
      </w:tblGrid>
      <w:tr w:rsidR="002D5220" w14:paraId="7017FF84" w14:textId="77777777" w:rsidTr="00345119">
        <w:tc>
          <w:tcPr>
            <w:tcW w:w="9576" w:type="dxa"/>
          </w:tcPr>
          <w:p w14:paraId="2FA5B75F" w14:textId="77777777" w:rsidR="008423E4" w:rsidRPr="00A8133F" w:rsidRDefault="00CC2EAC" w:rsidP="002F287F">
            <w:pPr>
              <w:rPr>
                <w:b/>
              </w:rPr>
            </w:pPr>
            <w:r w:rsidRPr="009C1E9A">
              <w:rPr>
                <w:b/>
                <w:u w:val="single"/>
              </w:rPr>
              <w:t>BACKGROUND AND PURPOSE</w:t>
            </w:r>
            <w:r>
              <w:rPr>
                <w:b/>
              </w:rPr>
              <w:t xml:space="preserve"> </w:t>
            </w:r>
          </w:p>
          <w:p w14:paraId="0378904E" w14:textId="77777777" w:rsidR="008423E4" w:rsidRDefault="008423E4" w:rsidP="002F287F"/>
          <w:p w14:paraId="4344BD2E" w14:textId="4DFE1B27" w:rsidR="008423E4" w:rsidRDefault="00CC2EAC" w:rsidP="002F287F">
            <w:pPr>
              <w:pStyle w:val="Header"/>
              <w:tabs>
                <w:tab w:val="clear" w:pos="4320"/>
                <w:tab w:val="clear" w:pos="8640"/>
              </w:tabs>
              <w:jc w:val="both"/>
            </w:pPr>
            <w:r w:rsidRPr="003F0D7E">
              <w:t xml:space="preserve">Winter Storm Uri revealed failures in the state's electricity market, specifically the lack of reliability. While </w:t>
            </w:r>
            <w:r w:rsidRPr="003F0D7E">
              <w:t>reforms from S.B. 3 from the 87th Texas Legislature</w:t>
            </w:r>
            <w:r>
              <w:t>, Regular Session,</w:t>
            </w:r>
            <w:r w:rsidRPr="003F0D7E">
              <w:t xml:space="preserve"> addressed many critical system issues, there remains a need for increased reliability related specifically to dispatchable generation. C.S.S.</w:t>
            </w:r>
            <w:r>
              <w:t>J.R.</w:t>
            </w:r>
            <w:r w:rsidRPr="003F0D7E">
              <w:t xml:space="preserve"> </w:t>
            </w:r>
            <w:r>
              <w:t>93</w:t>
            </w:r>
            <w:r w:rsidRPr="003F0D7E">
              <w:t xml:space="preserve"> seeks to target money at dispatchable</w:t>
            </w:r>
            <w:r w:rsidRPr="003F0D7E">
              <w:t xml:space="preserve"> generation facilities by</w:t>
            </w:r>
            <w:r>
              <w:t xml:space="preserve"> proposing a constitutional amendment to establish the Texas Energy Fund</w:t>
            </w:r>
            <w:r w:rsidRPr="003F0D7E">
              <w:t xml:space="preserve"> </w:t>
            </w:r>
            <w:r>
              <w:t xml:space="preserve">for use in </w:t>
            </w:r>
            <w:r w:rsidRPr="003F0D7E">
              <w:t xml:space="preserve">providing </w:t>
            </w:r>
            <w:r>
              <w:t>loans and grants to finance or incentivize the construction and operation of electric facilities</w:t>
            </w:r>
            <w:r w:rsidRPr="003F0D7E">
              <w:t>.</w:t>
            </w:r>
          </w:p>
          <w:p w14:paraId="3F1A5412" w14:textId="77777777" w:rsidR="008423E4" w:rsidRPr="00E26B13" w:rsidRDefault="008423E4" w:rsidP="002F287F">
            <w:pPr>
              <w:rPr>
                <w:b/>
              </w:rPr>
            </w:pPr>
          </w:p>
        </w:tc>
      </w:tr>
      <w:tr w:rsidR="002D5220" w14:paraId="7403DD22" w14:textId="77777777" w:rsidTr="00345119">
        <w:tc>
          <w:tcPr>
            <w:tcW w:w="9576" w:type="dxa"/>
          </w:tcPr>
          <w:p w14:paraId="63B26802" w14:textId="77777777" w:rsidR="0017725B" w:rsidRDefault="00CC2EAC" w:rsidP="002F287F">
            <w:pPr>
              <w:rPr>
                <w:b/>
                <w:u w:val="single"/>
              </w:rPr>
            </w:pPr>
            <w:r>
              <w:rPr>
                <w:b/>
                <w:u w:val="single"/>
              </w:rPr>
              <w:t>CRIMINAL JUSTICE IMPACT</w:t>
            </w:r>
          </w:p>
          <w:p w14:paraId="4E4CF4B6" w14:textId="77777777" w:rsidR="0017725B" w:rsidRDefault="0017725B" w:rsidP="002F287F">
            <w:pPr>
              <w:rPr>
                <w:b/>
                <w:u w:val="single"/>
              </w:rPr>
            </w:pPr>
          </w:p>
          <w:p w14:paraId="54565D54" w14:textId="0F80D618" w:rsidR="00B54768" w:rsidRPr="00B54768" w:rsidRDefault="00CC2EAC" w:rsidP="002F287F">
            <w:pPr>
              <w:jc w:val="both"/>
            </w:pPr>
            <w:r>
              <w:t>It is the co</w:t>
            </w:r>
            <w:r>
              <w:t xml:space="preserve">mmittee's opinion that this </w:t>
            </w:r>
            <w:r w:rsidR="003534D8">
              <w:t>resolution</w:t>
            </w:r>
            <w:r>
              <w:t xml:space="preserve"> does not expressly create a criminal offense, increase the punishment for an existing criminal offense or category of offenses, or change the eligibility of a person for community supervision, parole, or mandatory sup</w:t>
            </w:r>
            <w:r>
              <w:t>ervision.</w:t>
            </w:r>
          </w:p>
          <w:p w14:paraId="4219D4C2" w14:textId="77777777" w:rsidR="0017725B" w:rsidRPr="0017725B" w:rsidRDefault="0017725B" w:rsidP="002F287F">
            <w:pPr>
              <w:rPr>
                <w:b/>
                <w:u w:val="single"/>
              </w:rPr>
            </w:pPr>
          </w:p>
        </w:tc>
      </w:tr>
      <w:tr w:rsidR="002D5220" w14:paraId="31E66418" w14:textId="77777777" w:rsidTr="00345119">
        <w:tc>
          <w:tcPr>
            <w:tcW w:w="9576" w:type="dxa"/>
          </w:tcPr>
          <w:p w14:paraId="53474634" w14:textId="77777777" w:rsidR="008423E4" w:rsidRPr="00A8133F" w:rsidRDefault="00CC2EAC" w:rsidP="002F287F">
            <w:pPr>
              <w:rPr>
                <w:b/>
              </w:rPr>
            </w:pPr>
            <w:r w:rsidRPr="009C1E9A">
              <w:rPr>
                <w:b/>
                <w:u w:val="single"/>
              </w:rPr>
              <w:t>RULEMAKING AUTHORITY</w:t>
            </w:r>
            <w:r>
              <w:rPr>
                <w:b/>
              </w:rPr>
              <w:t xml:space="preserve"> </w:t>
            </w:r>
          </w:p>
          <w:p w14:paraId="705D259C" w14:textId="77777777" w:rsidR="008423E4" w:rsidRDefault="008423E4" w:rsidP="002F287F"/>
          <w:p w14:paraId="7AB2FE80" w14:textId="6B3FB5C3" w:rsidR="00B54768" w:rsidRDefault="00CC2EAC" w:rsidP="002F287F">
            <w:pPr>
              <w:pStyle w:val="Header"/>
              <w:tabs>
                <w:tab w:val="clear" w:pos="4320"/>
                <w:tab w:val="clear" w:pos="8640"/>
              </w:tabs>
              <w:jc w:val="both"/>
            </w:pPr>
            <w:r>
              <w:t xml:space="preserve">It is the committee's opinion that this </w:t>
            </w:r>
            <w:r w:rsidR="003534D8">
              <w:t>resolution</w:t>
            </w:r>
            <w:r>
              <w:t xml:space="preserve"> does not expressly grant any additional rulemaking authority to a state officer, department, agency, or institution.</w:t>
            </w:r>
          </w:p>
          <w:p w14:paraId="73918D4B" w14:textId="77777777" w:rsidR="008423E4" w:rsidRPr="00E21FDC" w:rsidRDefault="008423E4" w:rsidP="002F287F">
            <w:pPr>
              <w:rPr>
                <w:b/>
              </w:rPr>
            </w:pPr>
          </w:p>
        </w:tc>
      </w:tr>
      <w:tr w:rsidR="002D5220" w14:paraId="23CE8BEA" w14:textId="77777777" w:rsidTr="00345119">
        <w:tc>
          <w:tcPr>
            <w:tcW w:w="9576" w:type="dxa"/>
          </w:tcPr>
          <w:p w14:paraId="6E9AAB48" w14:textId="77777777" w:rsidR="008423E4" w:rsidRPr="00A8133F" w:rsidRDefault="00CC2EAC" w:rsidP="002F287F">
            <w:pPr>
              <w:rPr>
                <w:b/>
              </w:rPr>
            </w:pPr>
            <w:r w:rsidRPr="009C1E9A">
              <w:rPr>
                <w:b/>
                <w:u w:val="single"/>
              </w:rPr>
              <w:t>ANALYSIS</w:t>
            </w:r>
            <w:r>
              <w:rPr>
                <w:b/>
              </w:rPr>
              <w:t xml:space="preserve"> </w:t>
            </w:r>
          </w:p>
          <w:p w14:paraId="3EA9DCB2" w14:textId="77777777" w:rsidR="008423E4" w:rsidRDefault="008423E4" w:rsidP="002F287F"/>
          <w:p w14:paraId="0D9F3D03" w14:textId="42C86AEA" w:rsidR="002655C1" w:rsidRDefault="00CC2EAC" w:rsidP="002F287F">
            <w:pPr>
              <w:pStyle w:val="Header"/>
              <w:jc w:val="both"/>
            </w:pPr>
            <w:r>
              <w:t>C.S.</w:t>
            </w:r>
            <w:r w:rsidR="00B54768">
              <w:t>S.J.R. 93 proposes an amendment to the Texas Constitution to create the Texas Energy Fund as a special fund in the state treasury outside the general revenue fund. As provided by general law, money in the fund may be administered and used, without further appropriation, only by the Public Utility Commission of Texas</w:t>
            </w:r>
            <w:r w:rsidR="00FE6D55">
              <w:t xml:space="preserve"> (PUC)</w:t>
            </w:r>
            <w:r w:rsidR="00B54768">
              <w:t xml:space="preserve"> to provide loans and grants to any entity to finance or incentivize the construction</w:t>
            </w:r>
            <w:r>
              <w:t>, maintenance, modernization,</w:t>
            </w:r>
            <w:r w:rsidR="00706261">
              <w:t xml:space="preserve"> and operation</w:t>
            </w:r>
            <w:r w:rsidR="00B54768">
              <w:t xml:space="preserve"> of electric generating facilities</w:t>
            </w:r>
            <w:r>
              <w:t>, including associated infr</w:t>
            </w:r>
            <w:r>
              <w:t>astructure, necessary to ensure the reliability or adequacy of an electric power grid in Texas</w:t>
            </w:r>
            <w:r w:rsidR="00B54768">
              <w:t xml:space="preserve">. </w:t>
            </w:r>
            <w:r w:rsidR="0066564E">
              <w:t>The resolution</w:t>
            </w:r>
            <w:r w:rsidR="00FE6D55">
              <w:t xml:space="preserve"> requires the PUC to allocate money from the </w:t>
            </w:r>
            <w:r w:rsidR="00A1193A">
              <w:t>f</w:t>
            </w:r>
            <w:r w:rsidR="00FE6D55">
              <w:t xml:space="preserve">und for loans and grants to eligible projects for electric generating facilities that serve as backup power sources and requires the PUC to allocate that money to </w:t>
            </w:r>
            <w:r w:rsidR="00DE2DE1">
              <w:t xml:space="preserve">eligible </w:t>
            </w:r>
            <w:r w:rsidR="00FE6D55">
              <w:t>projects in each region of Texas that is part of an electric power grid in proportion to that region's load share.</w:t>
            </w:r>
          </w:p>
          <w:p w14:paraId="699600AD" w14:textId="77777777" w:rsidR="002655C1" w:rsidRDefault="002655C1" w:rsidP="002F287F">
            <w:pPr>
              <w:pStyle w:val="Header"/>
              <w:jc w:val="both"/>
            </w:pPr>
          </w:p>
          <w:p w14:paraId="29F83805" w14:textId="1195CD89" w:rsidR="00B54768" w:rsidRDefault="00CC2EAC" w:rsidP="002F287F">
            <w:pPr>
              <w:pStyle w:val="Header"/>
              <w:jc w:val="both"/>
            </w:pPr>
            <w:r>
              <w:t xml:space="preserve">C.S.S.J.R. 93 authorizes the entity administering the </w:t>
            </w:r>
            <w:r w:rsidR="00A1193A">
              <w:t>Texas Energy F</w:t>
            </w:r>
            <w:r>
              <w:t>und to establish separate accounts in the fund as necessary or convenient for the fund's administration and establishes that the fund consists of the following:</w:t>
            </w:r>
          </w:p>
          <w:p w14:paraId="6DEC4F86" w14:textId="104DC58D" w:rsidR="00B54768" w:rsidRDefault="00CC2EAC" w:rsidP="002F287F">
            <w:pPr>
              <w:pStyle w:val="Header"/>
              <w:numPr>
                <w:ilvl w:val="0"/>
                <w:numId w:val="1"/>
              </w:numPr>
              <w:jc w:val="both"/>
            </w:pPr>
            <w:r>
              <w:t>money credited, appropriated, or transferred to the fund by or as authorized by the legislature</w:t>
            </w:r>
            <w:r>
              <w:t>;</w:t>
            </w:r>
          </w:p>
          <w:p w14:paraId="138F6BB8" w14:textId="0DD30811" w:rsidR="00B54768" w:rsidRDefault="00CC2EAC" w:rsidP="002F287F">
            <w:pPr>
              <w:pStyle w:val="Header"/>
              <w:numPr>
                <w:ilvl w:val="0"/>
                <w:numId w:val="1"/>
              </w:numPr>
              <w:jc w:val="both"/>
            </w:pPr>
            <w:r>
              <w:t>revenue that the legislature dedicates for deposit to the credit of the fund;</w:t>
            </w:r>
          </w:p>
          <w:p w14:paraId="0611A875" w14:textId="73E93DC1" w:rsidR="00B54768" w:rsidRDefault="00CC2EAC" w:rsidP="002F287F">
            <w:pPr>
              <w:pStyle w:val="Header"/>
              <w:numPr>
                <w:ilvl w:val="0"/>
                <w:numId w:val="1"/>
              </w:numPr>
              <w:jc w:val="both"/>
            </w:pPr>
            <w:r>
              <w:t>the returns received from the investment of the money in the fund; and</w:t>
            </w:r>
          </w:p>
          <w:p w14:paraId="14DDCADD" w14:textId="55F2FD30" w:rsidR="00B54768" w:rsidRDefault="00CC2EAC" w:rsidP="002F287F">
            <w:pPr>
              <w:pStyle w:val="Header"/>
              <w:numPr>
                <w:ilvl w:val="0"/>
                <w:numId w:val="1"/>
              </w:numPr>
              <w:jc w:val="both"/>
            </w:pPr>
            <w:r>
              <w:t>gifts, grants, and donations contributed to the credit of the fund.</w:t>
            </w:r>
          </w:p>
          <w:p w14:paraId="1E7C4D1E" w14:textId="7B2E3FF5" w:rsidR="00B54768" w:rsidRDefault="00CC2EAC" w:rsidP="002F287F">
            <w:pPr>
              <w:pStyle w:val="Header"/>
              <w:jc w:val="both"/>
            </w:pPr>
            <w:r>
              <w:t>The</w:t>
            </w:r>
            <w:r w:rsidR="00242D55">
              <w:t xml:space="preserve"> resolution requires that the</w:t>
            </w:r>
            <w:r>
              <w:t xml:space="preserve"> reas</w:t>
            </w:r>
            <w:r>
              <w:t>onable expenses of managing the fund's assets be paid from the fund.</w:t>
            </w:r>
          </w:p>
          <w:p w14:paraId="21A73844" w14:textId="1BFBA289" w:rsidR="00B54768" w:rsidRDefault="00B54768" w:rsidP="002F287F">
            <w:pPr>
              <w:pStyle w:val="Header"/>
              <w:jc w:val="both"/>
            </w:pPr>
          </w:p>
          <w:p w14:paraId="48EE9C4A" w14:textId="43E37674" w:rsidR="00B54768" w:rsidRDefault="00CC2EAC" w:rsidP="002F287F">
            <w:pPr>
              <w:pStyle w:val="Header"/>
              <w:jc w:val="both"/>
            </w:pPr>
            <w:r>
              <w:t xml:space="preserve">C.S.S.J.R. 93 authorizes the legislature to appropriate general revenue for the purpose of depositing money to the credit of the </w:t>
            </w:r>
            <w:r w:rsidR="00706261">
              <w:t xml:space="preserve">Texas Energy Fund </w:t>
            </w:r>
            <w:r>
              <w:t>to be used for the purposes of the fund</w:t>
            </w:r>
            <w:r w:rsidR="00242D55">
              <w:t xml:space="preserve"> and authorizes the legislature by a provision of a general appropriations act to provide for the transfer to the general revenue fund of money that is subject to the resolution's provisions.</w:t>
            </w:r>
          </w:p>
          <w:p w14:paraId="04EE9B61" w14:textId="77777777" w:rsidR="00B54768" w:rsidRDefault="00B54768" w:rsidP="002F287F">
            <w:pPr>
              <w:pStyle w:val="Header"/>
              <w:jc w:val="both"/>
            </w:pPr>
          </w:p>
          <w:p w14:paraId="1584761A" w14:textId="6453475A" w:rsidR="009C36CD" w:rsidRPr="009C36CD" w:rsidRDefault="00CC2EAC" w:rsidP="002F287F">
            <w:pPr>
              <w:pStyle w:val="Header"/>
              <w:jc w:val="both"/>
            </w:pPr>
            <w:r>
              <w:t>C.S.</w:t>
            </w:r>
            <w:r w:rsidR="00B54768">
              <w:t xml:space="preserve">S.J.R. 93 establishes that, for purposes of the constitutional limit on the rate of growth of appropriations, money in the </w:t>
            </w:r>
            <w:r w:rsidR="00706261">
              <w:t>Texas Energy Fund</w:t>
            </w:r>
            <w:r w:rsidR="00706261" w:rsidRPr="00706261">
              <w:rPr>
                <w:rFonts w:ascii="Consolas" w:hAnsi="Consolas" w:cs="Courier New"/>
                <w:color w:val="333333"/>
                <w:sz w:val="20"/>
                <w:szCs w:val="20"/>
              </w:rPr>
              <w:t xml:space="preserve"> </w:t>
            </w:r>
            <w:r w:rsidR="00B54768">
              <w:t>is considered dedicated by th</w:t>
            </w:r>
            <w:r w:rsidR="00706261">
              <w:t>e</w:t>
            </w:r>
            <w:r w:rsidR="00B54768">
              <w:t xml:space="preserve"> constitution and an appropriation of state tax revenues for the purpose of depositing money to the credit of the fund is </w:t>
            </w:r>
            <w:r w:rsidR="00242D55">
              <w:t xml:space="preserve">to be </w:t>
            </w:r>
            <w:r w:rsidR="00B54768">
              <w:t xml:space="preserve">treated as if it were an appropriation of </w:t>
            </w:r>
            <w:r w:rsidR="00242D55">
              <w:t xml:space="preserve">constitutionally-dedicated </w:t>
            </w:r>
            <w:r w:rsidR="00B54768">
              <w:t>revenues.</w:t>
            </w:r>
          </w:p>
          <w:p w14:paraId="15B38A55" w14:textId="77777777" w:rsidR="008423E4" w:rsidRPr="00835628" w:rsidRDefault="008423E4" w:rsidP="002F287F">
            <w:pPr>
              <w:rPr>
                <w:b/>
              </w:rPr>
            </w:pPr>
          </w:p>
        </w:tc>
      </w:tr>
      <w:tr w:rsidR="002D5220" w14:paraId="7993CD4B" w14:textId="77777777" w:rsidTr="00345119">
        <w:tc>
          <w:tcPr>
            <w:tcW w:w="9576" w:type="dxa"/>
          </w:tcPr>
          <w:p w14:paraId="45DA49DA" w14:textId="77777777" w:rsidR="008423E4" w:rsidRPr="00A8133F" w:rsidRDefault="00CC2EAC" w:rsidP="002F287F">
            <w:pPr>
              <w:rPr>
                <w:b/>
              </w:rPr>
            </w:pPr>
            <w:r>
              <w:rPr>
                <w:b/>
                <w:u w:val="single"/>
              </w:rPr>
              <w:t>ELECTION DATE</w:t>
            </w:r>
            <w:r>
              <w:rPr>
                <w:b/>
              </w:rPr>
              <w:t xml:space="preserve"> </w:t>
            </w:r>
          </w:p>
          <w:p w14:paraId="625012B9" w14:textId="77777777" w:rsidR="008423E4" w:rsidRDefault="008423E4" w:rsidP="002F287F"/>
          <w:p w14:paraId="34EB3DF1" w14:textId="1A52E87F" w:rsidR="008423E4" w:rsidRPr="003624F2" w:rsidRDefault="00CC2EAC" w:rsidP="002F287F">
            <w:pPr>
              <w:pStyle w:val="Header"/>
              <w:tabs>
                <w:tab w:val="clear" w:pos="4320"/>
                <w:tab w:val="clear" w:pos="8640"/>
              </w:tabs>
              <w:jc w:val="both"/>
            </w:pPr>
            <w:r>
              <w:t>The constitutional amendment proposed by this joint resolution will be submitted to the voters at an election to be held November 7, 2023.</w:t>
            </w:r>
          </w:p>
          <w:p w14:paraId="3FB40E42" w14:textId="77777777" w:rsidR="008423E4" w:rsidRPr="00233FDB" w:rsidRDefault="008423E4" w:rsidP="002F287F">
            <w:pPr>
              <w:rPr>
                <w:b/>
              </w:rPr>
            </w:pPr>
          </w:p>
        </w:tc>
      </w:tr>
      <w:tr w:rsidR="002D5220" w14:paraId="0C5705F1" w14:textId="77777777" w:rsidTr="00345119">
        <w:tc>
          <w:tcPr>
            <w:tcW w:w="9576" w:type="dxa"/>
          </w:tcPr>
          <w:p w14:paraId="22F5790D" w14:textId="77777777" w:rsidR="00DA47D1" w:rsidRDefault="00CC2EAC" w:rsidP="002F287F">
            <w:pPr>
              <w:jc w:val="both"/>
              <w:rPr>
                <w:b/>
                <w:u w:val="single"/>
              </w:rPr>
            </w:pPr>
            <w:r>
              <w:rPr>
                <w:b/>
                <w:u w:val="single"/>
              </w:rPr>
              <w:t xml:space="preserve">COMPARISON OF SENATE </w:t>
            </w:r>
            <w:r>
              <w:rPr>
                <w:b/>
                <w:u w:val="single"/>
              </w:rPr>
              <w:t>ENGROSSED AND SUBSTITUTE</w:t>
            </w:r>
          </w:p>
          <w:p w14:paraId="6FFC63C5" w14:textId="77777777" w:rsidR="00CD7A59" w:rsidRDefault="00CD7A59" w:rsidP="002F287F">
            <w:pPr>
              <w:jc w:val="both"/>
            </w:pPr>
          </w:p>
          <w:p w14:paraId="67E36B97" w14:textId="3785E547" w:rsidR="00CD7A59" w:rsidRDefault="00CC2EAC" w:rsidP="002F287F">
            <w:pPr>
              <w:jc w:val="both"/>
            </w:pPr>
            <w:r>
              <w:t>While C.S.S.</w:t>
            </w:r>
            <w:r w:rsidR="0066564E">
              <w:t>J</w:t>
            </w:r>
            <w:r>
              <w:t>.</w:t>
            </w:r>
            <w:r w:rsidR="0066564E">
              <w:t>R</w:t>
            </w:r>
            <w:r w:rsidR="00EE18D9">
              <w:t>.</w:t>
            </w:r>
            <w:r>
              <w:t xml:space="preserve"> 93 may differ from the engrossed in minor or nonsubstantive ways, the following summarizes the substantial differences between the engrossed and committee substitute versions of the </w:t>
            </w:r>
            <w:r w:rsidR="0066564E">
              <w:t>resolution</w:t>
            </w:r>
            <w:r>
              <w:t>.</w:t>
            </w:r>
          </w:p>
          <w:p w14:paraId="1EF91A18" w14:textId="556ABEF1" w:rsidR="00CD7A59" w:rsidRDefault="00CD7A59" w:rsidP="002F287F">
            <w:pPr>
              <w:jc w:val="both"/>
            </w:pPr>
          </w:p>
          <w:p w14:paraId="181603E9" w14:textId="3D676346" w:rsidR="00CD7A59" w:rsidRDefault="00CC2EAC" w:rsidP="002F287F">
            <w:pPr>
              <w:jc w:val="both"/>
            </w:pPr>
            <w:r>
              <w:t>The substitute rev</w:t>
            </w:r>
            <w:r>
              <w:t xml:space="preserve">ises the provision in the </w:t>
            </w:r>
            <w:r w:rsidR="0066564E">
              <w:t xml:space="preserve">engrossed </w:t>
            </w:r>
            <w:r>
              <w:t xml:space="preserve">establishing that </w:t>
            </w:r>
            <w:r w:rsidRPr="002D6664">
              <w:t>the fund</w:t>
            </w:r>
            <w:r>
              <w:t xml:space="preserve"> </w:t>
            </w:r>
            <w:r w:rsidR="0066564E">
              <w:t>may be used only by the PUC</w:t>
            </w:r>
            <w:r>
              <w:t xml:space="preserve"> to provide loans and grants to </w:t>
            </w:r>
            <w:r w:rsidRPr="003F0D7E">
              <w:t>any entity to finance or incentivize the construction, maintenance, and modernization of electric generating facilities</w:t>
            </w:r>
            <w:r>
              <w:t xml:space="preserve"> by doing the f</w:t>
            </w:r>
            <w:r>
              <w:t xml:space="preserve">ollowing: </w:t>
            </w:r>
          </w:p>
          <w:p w14:paraId="7B2C148A" w14:textId="4258408F" w:rsidR="00CD7A59" w:rsidRDefault="00CC2EAC" w:rsidP="002F287F">
            <w:pPr>
              <w:pStyle w:val="ListParagraph"/>
              <w:numPr>
                <w:ilvl w:val="0"/>
                <w:numId w:val="3"/>
              </w:numPr>
              <w:contextualSpacing w:val="0"/>
              <w:jc w:val="both"/>
            </w:pPr>
            <w:r>
              <w:t xml:space="preserve">providing also for the operation of those facilities to be financed or incentivized through the loans and grants; </w:t>
            </w:r>
          </w:p>
          <w:p w14:paraId="3EAE085E" w14:textId="1D560E35" w:rsidR="00A25F84" w:rsidRDefault="00CC2EAC" w:rsidP="002F287F">
            <w:pPr>
              <w:pStyle w:val="ListParagraph"/>
              <w:numPr>
                <w:ilvl w:val="0"/>
                <w:numId w:val="3"/>
              </w:numPr>
              <w:contextualSpacing w:val="0"/>
              <w:jc w:val="both"/>
            </w:pPr>
            <w:r>
              <w:t>specifying that grants and loans may be used for infrastructure associated with an electric generating facility; and</w:t>
            </w:r>
          </w:p>
          <w:p w14:paraId="1B4F2A8F" w14:textId="4EB17668" w:rsidR="00FE6D55" w:rsidRDefault="00CC2EAC" w:rsidP="002F287F">
            <w:pPr>
              <w:pStyle w:val="ListParagraph"/>
              <w:numPr>
                <w:ilvl w:val="0"/>
                <w:numId w:val="3"/>
              </w:numPr>
              <w:contextualSpacing w:val="0"/>
              <w:jc w:val="both"/>
            </w:pPr>
            <w:r w:rsidRPr="004603C3">
              <w:t xml:space="preserve">limiting the </w:t>
            </w:r>
            <w:r w:rsidRPr="004603C3">
              <w:t>electric</w:t>
            </w:r>
            <w:r>
              <w:t xml:space="preserve"> generating facilities that may receive a grant or loan to those that are necessary to ensure the reliability or adequacy of an electric power grid in Texas.</w:t>
            </w:r>
          </w:p>
          <w:p w14:paraId="1EB6EE70" w14:textId="09184010" w:rsidR="00A25F84" w:rsidRDefault="00CC2EAC" w:rsidP="002F287F">
            <w:pPr>
              <w:jc w:val="both"/>
            </w:pPr>
            <w:r>
              <w:t>The substitute includes a provision absent from the engrossed requiring the PUC to allocat</w:t>
            </w:r>
            <w:r>
              <w:t xml:space="preserve">e money from the </w:t>
            </w:r>
            <w:r w:rsidR="00FE6D55" w:rsidRPr="00FE6D55">
              <w:t>Texas Energy Fund for loans and grants to eligible projects for electric generating facilities that serve as backup power sources</w:t>
            </w:r>
            <w:r w:rsidR="00FE6D55">
              <w:t xml:space="preserve"> and requiring the PUC to</w:t>
            </w:r>
            <w:r w:rsidR="00FE6D55" w:rsidRPr="00FE6D55">
              <w:t xml:space="preserve"> allocate that money to </w:t>
            </w:r>
            <w:r w:rsidR="00DE2DE1">
              <w:t xml:space="preserve">eligible </w:t>
            </w:r>
            <w:r w:rsidR="00FE6D55" w:rsidRPr="00FE6D55">
              <w:t>projects in each region of Texas that is part of an electric power grid in proportion to that region's load share</w:t>
            </w:r>
            <w:r w:rsidR="00DE2DE1">
              <w:t>.</w:t>
            </w:r>
          </w:p>
          <w:p w14:paraId="13CCD852" w14:textId="77777777" w:rsidR="00A25F84" w:rsidRDefault="00A25F84" w:rsidP="002F287F">
            <w:pPr>
              <w:jc w:val="both"/>
            </w:pPr>
          </w:p>
          <w:p w14:paraId="130D6D1A" w14:textId="15B38800" w:rsidR="00CD7A59" w:rsidRDefault="00CC2EAC" w:rsidP="002F287F">
            <w:pPr>
              <w:jc w:val="both"/>
            </w:pPr>
            <w:r>
              <w:t>The substitute omits the provision from the engrossed establishing that, r</w:t>
            </w:r>
            <w:r w:rsidRPr="003F0D7E">
              <w:t xml:space="preserve">egardless of whether the legislature directs that the money be deposited to the credit of the </w:t>
            </w:r>
            <w:r>
              <w:t>f</w:t>
            </w:r>
            <w:r w:rsidRPr="003F0D7E">
              <w:t>und, the legislature ma</w:t>
            </w:r>
            <w:r w:rsidRPr="003F0D7E">
              <w:t xml:space="preserve">y appropriate general revenue to be expended for any purpose related to construction, maintenance, or modernization of electric generating facilities to ensure the reliability or adequacy of an electric power grid in </w:t>
            </w:r>
            <w:r>
              <w:t>Texas.</w:t>
            </w:r>
          </w:p>
          <w:p w14:paraId="23751496" w14:textId="5DA374E3" w:rsidR="009A3C13" w:rsidRDefault="009A3C13" w:rsidP="002F287F">
            <w:pPr>
              <w:jc w:val="both"/>
            </w:pPr>
          </w:p>
          <w:p w14:paraId="62C823B8" w14:textId="0F286E5E" w:rsidR="009A3C13" w:rsidRDefault="00CC2EAC" w:rsidP="002F287F">
            <w:pPr>
              <w:jc w:val="both"/>
            </w:pPr>
            <w:r>
              <w:t>The substitute revises the prop</w:t>
            </w:r>
            <w:r>
              <w:t>osed ballot language as set out in the engrossed.</w:t>
            </w:r>
          </w:p>
          <w:p w14:paraId="30AA3243" w14:textId="1AA35B6C" w:rsidR="00CD7A59" w:rsidRPr="00CD7A59" w:rsidRDefault="00CD7A59" w:rsidP="002F287F">
            <w:pPr>
              <w:jc w:val="both"/>
            </w:pPr>
          </w:p>
        </w:tc>
      </w:tr>
      <w:tr w:rsidR="002D5220" w14:paraId="0413FC33" w14:textId="77777777" w:rsidTr="00345119">
        <w:tc>
          <w:tcPr>
            <w:tcW w:w="9576" w:type="dxa"/>
          </w:tcPr>
          <w:p w14:paraId="63B72504" w14:textId="77777777" w:rsidR="00DA47D1" w:rsidRDefault="00DA47D1" w:rsidP="002F287F">
            <w:pPr>
              <w:rPr>
                <w:b/>
                <w:u w:val="single"/>
              </w:rPr>
            </w:pPr>
          </w:p>
        </w:tc>
      </w:tr>
      <w:tr w:rsidR="002D5220" w14:paraId="26E98305" w14:textId="77777777" w:rsidTr="00345119">
        <w:tc>
          <w:tcPr>
            <w:tcW w:w="9576" w:type="dxa"/>
          </w:tcPr>
          <w:p w14:paraId="6F68EA18" w14:textId="77777777" w:rsidR="00DA47D1" w:rsidRPr="00DA47D1" w:rsidRDefault="00DA47D1" w:rsidP="002F287F">
            <w:pPr>
              <w:jc w:val="both"/>
            </w:pPr>
          </w:p>
        </w:tc>
      </w:tr>
    </w:tbl>
    <w:p w14:paraId="3637B5DA" w14:textId="77777777" w:rsidR="008423E4" w:rsidRPr="00BE0E75" w:rsidRDefault="008423E4" w:rsidP="002F287F">
      <w:pPr>
        <w:jc w:val="both"/>
        <w:rPr>
          <w:rFonts w:ascii="Arial" w:hAnsi="Arial"/>
          <w:sz w:val="16"/>
          <w:szCs w:val="16"/>
        </w:rPr>
      </w:pPr>
    </w:p>
    <w:p w14:paraId="12482C90" w14:textId="77777777" w:rsidR="004108C3" w:rsidRPr="008423E4" w:rsidRDefault="004108C3" w:rsidP="002F287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2904" w14:textId="77777777" w:rsidR="00000000" w:rsidRDefault="00CC2EAC">
      <w:r>
        <w:separator/>
      </w:r>
    </w:p>
  </w:endnote>
  <w:endnote w:type="continuationSeparator" w:id="0">
    <w:p w14:paraId="4EC6C90C" w14:textId="77777777" w:rsidR="00000000" w:rsidRDefault="00CC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4F7B"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2D5220" w14:paraId="1E1534CF" w14:textId="77777777" w:rsidTr="009C1E9A">
      <w:trPr>
        <w:cantSplit/>
      </w:trPr>
      <w:tc>
        <w:tcPr>
          <w:tcW w:w="0" w:type="pct"/>
        </w:tcPr>
        <w:p w14:paraId="60C39D1C" w14:textId="77777777" w:rsidR="00137D90" w:rsidRDefault="00137D90" w:rsidP="009C1E9A">
          <w:pPr>
            <w:pStyle w:val="Footer"/>
            <w:tabs>
              <w:tab w:val="clear" w:pos="8640"/>
              <w:tab w:val="right" w:pos="9360"/>
            </w:tabs>
          </w:pPr>
        </w:p>
      </w:tc>
      <w:tc>
        <w:tcPr>
          <w:tcW w:w="2395" w:type="pct"/>
        </w:tcPr>
        <w:p w14:paraId="4B6F25CB" w14:textId="77777777" w:rsidR="00137D90" w:rsidRDefault="00137D90" w:rsidP="009C1E9A">
          <w:pPr>
            <w:pStyle w:val="Footer"/>
            <w:tabs>
              <w:tab w:val="clear" w:pos="8640"/>
              <w:tab w:val="right" w:pos="9360"/>
            </w:tabs>
          </w:pPr>
        </w:p>
        <w:p w14:paraId="0209C8CC" w14:textId="77777777" w:rsidR="001A4310" w:rsidRDefault="001A4310" w:rsidP="009C1E9A">
          <w:pPr>
            <w:pStyle w:val="Footer"/>
            <w:tabs>
              <w:tab w:val="clear" w:pos="8640"/>
              <w:tab w:val="right" w:pos="9360"/>
            </w:tabs>
          </w:pPr>
        </w:p>
        <w:p w14:paraId="4C68EABD" w14:textId="77777777" w:rsidR="00137D90" w:rsidRDefault="00137D90" w:rsidP="009C1E9A">
          <w:pPr>
            <w:pStyle w:val="Footer"/>
            <w:tabs>
              <w:tab w:val="clear" w:pos="8640"/>
              <w:tab w:val="right" w:pos="9360"/>
            </w:tabs>
          </w:pPr>
        </w:p>
      </w:tc>
      <w:tc>
        <w:tcPr>
          <w:tcW w:w="2453" w:type="pct"/>
        </w:tcPr>
        <w:p w14:paraId="70022A14" w14:textId="77777777" w:rsidR="00137D90" w:rsidRDefault="00137D90" w:rsidP="009C1E9A">
          <w:pPr>
            <w:pStyle w:val="Footer"/>
            <w:tabs>
              <w:tab w:val="clear" w:pos="8640"/>
              <w:tab w:val="right" w:pos="9360"/>
            </w:tabs>
            <w:jc w:val="right"/>
          </w:pPr>
        </w:p>
      </w:tc>
    </w:tr>
    <w:tr w:rsidR="002D5220" w14:paraId="0E707CB7" w14:textId="77777777" w:rsidTr="009C1E9A">
      <w:trPr>
        <w:cantSplit/>
      </w:trPr>
      <w:tc>
        <w:tcPr>
          <w:tcW w:w="0" w:type="pct"/>
        </w:tcPr>
        <w:p w14:paraId="2E97A046" w14:textId="77777777" w:rsidR="00EC379B" w:rsidRDefault="00EC379B" w:rsidP="009C1E9A">
          <w:pPr>
            <w:pStyle w:val="Footer"/>
            <w:tabs>
              <w:tab w:val="clear" w:pos="8640"/>
              <w:tab w:val="right" w:pos="9360"/>
            </w:tabs>
          </w:pPr>
        </w:p>
      </w:tc>
      <w:tc>
        <w:tcPr>
          <w:tcW w:w="2395" w:type="pct"/>
        </w:tcPr>
        <w:p w14:paraId="09EC6451" w14:textId="197C6F0B" w:rsidR="00EC379B" w:rsidRPr="009C1E9A" w:rsidRDefault="00CC2EAC" w:rsidP="009C1E9A">
          <w:pPr>
            <w:pStyle w:val="Footer"/>
            <w:tabs>
              <w:tab w:val="clear" w:pos="8640"/>
              <w:tab w:val="right" w:pos="9360"/>
            </w:tabs>
            <w:rPr>
              <w:rFonts w:ascii="Shruti" w:hAnsi="Shruti"/>
              <w:sz w:val="22"/>
            </w:rPr>
          </w:pPr>
          <w:r>
            <w:rPr>
              <w:rFonts w:ascii="Shruti" w:hAnsi="Shruti"/>
              <w:sz w:val="22"/>
            </w:rPr>
            <w:t>88R 31429-D</w:t>
          </w:r>
        </w:p>
      </w:tc>
      <w:tc>
        <w:tcPr>
          <w:tcW w:w="2453" w:type="pct"/>
        </w:tcPr>
        <w:p w14:paraId="4CD12475" w14:textId="46A9F68F" w:rsidR="00EC379B" w:rsidRDefault="00CC2EAC" w:rsidP="009C1E9A">
          <w:pPr>
            <w:pStyle w:val="Footer"/>
            <w:tabs>
              <w:tab w:val="clear" w:pos="8640"/>
              <w:tab w:val="right" w:pos="9360"/>
            </w:tabs>
            <w:jc w:val="right"/>
          </w:pPr>
          <w:r>
            <w:fldChar w:fldCharType="begin"/>
          </w:r>
          <w:r>
            <w:instrText xml:space="preserve"> DOCPROPERTY  OTID  \* MERGEFORMAT </w:instrText>
          </w:r>
          <w:r>
            <w:fldChar w:fldCharType="separate"/>
          </w:r>
          <w:r w:rsidR="008D5163">
            <w:t>23.138.2217</w:t>
          </w:r>
          <w:r>
            <w:fldChar w:fldCharType="end"/>
          </w:r>
        </w:p>
      </w:tc>
    </w:tr>
    <w:tr w:rsidR="002D5220" w14:paraId="24265B86" w14:textId="77777777" w:rsidTr="009C1E9A">
      <w:trPr>
        <w:cantSplit/>
      </w:trPr>
      <w:tc>
        <w:tcPr>
          <w:tcW w:w="0" w:type="pct"/>
        </w:tcPr>
        <w:p w14:paraId="0C6D34A7" w14:textId="77777777" w:rsidR="00EC379B" w:rsidRDefault="00EC379B" w:rsidP="009C1E9A">
          <w:pPr>
            <w:pStyle w:val="Footer"/>
            <w:tabs>
              <w:tab w:val="clear" w:pos="4320"/>
              <w:tab w:val="clear" w:pos="8640"/>
              <w:tab w:val="left" w:pos="2865"/>
            </w:tabs>
          </w:pPr>
        </w:p>
      </w:tc>
      <w:tc>
        <w:tcPr>
          <w:tcW w:w="2395" w:type="pct"/>
        </w:tcPr>
        <w:p w14:paraId="548998A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DB2EC8E" w14:textId="77777777" w:rsidR="00EC379B" w:rsidRDefault="00EC379B" w:rsidP="006D504F">
          <w:pPr>
            <w:pStyle w:val="Footer"/>
            <w:rPr>
              <w:rStyle w:val="PageNumber"/>
            </w:rPr>
          </w:pPr>
        </w:p>
        <w:p w14:paraId="1429D6E9" w14:textId="77777777" w:rsidR="00EC379B" w:rsidRDefault="00EC379B" w:rsidP="009C1E9A">
          <w:pPr>
            <w:pStyle w:val="Footer"/>
            <w:tabs>
              <w:tab w:val="clear" w:pos="8640"/>
              <w:tab w:val="right" w:pos="9360"/>
            </w:tabs>
            <w:jc w:val="right"/>
          </w:pPr>
        </w:p>
      </w:tc>
    </w:tr>
    <w:tr w:rsidR="002D5220" w14:paraId="4A0FBEA8" w14:textId="77777777" w:rsidTr="009C1E9A">
      <w:trPr>
        <w:cantSplit/>
        <w:trHeight w:val="323"/>
      </w:trPr>
      <w:tc>
        <w:tcPr>
          <w:tcW w:w="0" w:type="pct"/>
          <w:gridSpan w:val="3"/>
        </w:tcPr>
        <w:p w14:paraId="6E91E3F7" w14:textId="77777777" w:rsidR="00EC379B" w:rsidRDefault="00CC2EA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6DE37516" w14:textId="77777777" w:rsidR="00EC379B" w:rsidRDefault="00EC379B" w:rsidP="009C1E9A">
          <w:pPr>
            <w:pStyle w:val="Footer"/>
            <w:tabs>
              <w:tab w:val="clear" w:pos="8640"/>
              <w:tab w:val="right" w:pos="9360"/>
            </w:tabs>
            <w:jc w:val="center"/>
          </w:pPr>
        </w:p>
      </w:tc>
    </w:tr>
  </w:tbl>
  <w:p w14:paraId="5912220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C7D0"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01DB" w14:textId="77777777" w:rsidR="00000000" w:rsidRDefault="00CC2EAC">
      <w:r>
        <w:separator/>
      </w:r>
    </w:p>
  </w:footnote>
  <w:footnote w:type="continuationSeparator" w:id="0">
    <w:p w14:paraId="38AD68A7" w14:textId="77777777" w:rsidR="00000000" w:rsidRDefault="00CC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BD9A"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5E23"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F022"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E7E09"/>
    <w:multiLevelType w:val="hybridMultilevel"/>
    <w:tmpl w:val="F8C40DB4"/>
    <w:lvl w:ilvl="0" w:tplc="C6F65E6E">
      <w:start w:val="1"/>
      <w:numFmt w:val="decimal"/>
      <w:lvlText w:val="(%1)"/>
      <w:lvlJc w:val="left"/>
      <w:pPr>
        <w:ind w:left="885" w:hanging="525"/>
      </w:pPr>
      <w:rPr>
        <w:rFonts w:hint="default"/>
      </w:rPr>
    </w:lvl>
    <w:lvl w:ilvl="1" w:tplc="1108DFE0" w:tentative="1">
      <w:start w:val="1"/>
      <w:numFmt w:val="lowerLetter"/>
      <w:lvlText w:val="%2."/>
      <w:lvlJc w:val="left"/>
      <w:pPr>
        <w:ind w:left="1440" w:hanging="360"/>
      </w:pPr>
    </w:lvl>
    <w:lvl w:ilvl="2" w:tplc="59CC71D4" w:tentative="1">
      <w:start w:val="1"/>
      <w:numFmt w:val="lowerRoman"/>
      <w:lvlText w:val="%3."/>
      <w:lvlJc w:val="right"/>
      <w:pPr>
        <w:ind w:left="2160" w:hanging="180"/>
      </w:pPr>
    </w:lvl>
    <w:lvl w:ilvl="3" w:tplc="510E1988" w:tentative="1">
      <w:start w:val="1"/>
      <w:numFmt w:val="decimal"/>
      <w:lvlText w:val="%4."/>
      <w:lvlJc w:val="left"/>
      <w:pPr>
        <w:ind w:left="2880" w:hanging="360"/>
      </w:pPr>
    </w:lvl>
    <w:lvl w:ilvl="4" w:tplc="E5B61764" w:tentative="1">
      <w:start w:val="1"/>
      <w:numFmt w:val="lowerLetter"/>
      <w:lvlText w:val="%5."/>
      <w:lvlJc w:val="left"/>
      <w:pPr>
        <w:ind w:left="3600" w:hanging="360"/>
      </w:pPr>
    </w:lvl>
    <w:lvl w:ilvl="5" w:tplc="A92EB678" w:tentative="1">
      <w:start w:val="1"/>
      <w:numFmt w:val="lowerRoman"/>
      <w:lvlText w:val="%6."/>
      <w:lvlJc w:val="right"/>
      <w:pPr>
        <w:ind w:left="4320" w:hanging="180"/>
      </w:pPr>
    </w:lvl>
    <w:lvl w:ilvl="6" w:tplc="A7C228CA" w:tentative="1">
      <w:start w:val="1"/>
      <w:numFmt w:val="decimal"/>
      <w:lvlText w:val="%7."/>
      <w:lvlJc w:val="left"/>
      <w:pPr>
        <w:ind w:left="5040" w:hanging="360"/>
      </w:pPr>
    </w:lvl>
    <w:lvl w:ilvl="7" w:tplc="1668E182" w:tentative="1">
      <w:start w:val="1"/>
      <w:numFmt w:val="lowerLetter"/>
      <w:lvlText w:val="%8."/>
      <w:lvlJc w:val="left"/>
      <w:pPr>
        <w:ind w:left="5760" w:hanging="360"/>
      </w:pPr>
    </w:lvl>
    <w:lvl w:ilvl="8" w:tplc="F252F87A" w:tentative="1">
      <w:start w:val="1"/>
      <w:numFmt w:val="lowerRoman"/>
      <w:lvlText w:val="%9."/>
      <w:lvlJc w:val="right"/>
      <w:pPr>
        <w:ind w:left="6480" w:hanging="180"/>
      </w:pPr>
    </w:lvl>
  </w:abstractNum>
  <w:abstractNum w:abstractNumId="1" w15:restartNumberingAfterBreak="0">
    <w:nsid w:val="6CEE2731"/>
    <w:multiLevelType w:val="hybridMultilevel"/>
    <w:tmpl w:val="8BD6258A"/>
    <w:lvl w:ilvl="0" w:tplc="446650AA">
      <w:start w:val="1"/>
      <w:numFmt w:val="bullet"/>
      <w:lvlText w:val=""/>
      <w:lvlJc w:val="left"/>
      <w:pPr>
        <w:tabs>
          <w:tab w:val="num" w:pos="720"/>
        </w:tabs>
        <w:ind w:left="720" w:hanging="360"/>
      </w:pPr>
      <w:rPr>
        <w:rFonts w:ascii="Symbol" w:hAnsi="Symbol" w:hint="default"/>
      </w:rPr>
    </w:lvl>
    <w:lvl w:ilvl="1" w:tplc="DDD0F5D0" w:tentative="1">
      <w:start w:val="1"/>
      <w:numFmt w:val="bullet"/>
      <w:lvlText w:val="o"/>
      <w:lvlJc w:val="left"/>
      <w:pPr>
        <w:ind w:left="1440" w:hanging="360"/>
      </w:pPr>
      <w:rPr>
        <w:rFonts w:ascii="Courier New" w:hAnsi="Courier New" w:cs="Courier New" w:hint="default"/>
      </w:rPr>
    </w:lvl>
    <w:lvl w:ilvl="2" w:tplc="E58E0A52" w:tentative="1">
      <w:start w:val="1"/>
      <w:numFmt w:val="bullet"/>
      <w:lvlText w:val=""/>
      <w:lvlJc w:val="left"/>
      <w:pPr>
        <w:ind w:left="2160" w:hanging="360"/>
      </w:pPr>
      <w:rPr>
        <w:rFonts w:ascii="Wingdings" w:hAnsi="Wingdings" w:hint="default"/>
      </w:rPr>
    </w:lvl>
    <w:lvl w:ilvl="3" w:tplc="33407C84" w:tentative="1">
      <w:start w:val="1"/>
      <w:numFmt w:val="bullet"/>
      <w:lvlText w:val=""/>
      <w:lvlJc w:val="left"/>
      <w:pPr>
        <w:ind w:left="2880" w:hanging="360"/>
      </w:pPr>
      <w:rPr>
        <w:rFonts w:ascii="Symbol" w:hAnsi="Symbol" w:hint="default"/>
      </w:rPr>
    </w:lvl>
    <w:lvl w:ilvl="4" w:tplc="34121594" w:tentative="1">
      <w:start w:val="1"/>
      <w:numFmt w:val="bullet"/>
      <w:lvlText w:val="o"/>
      <w:lvlJc w:val="left"/>
      <w:pPr>
        <w:ind w:left="3600" w:hanging="360"/>
      </w:pPr>
      <w:rPr>
        <w:rFonts w:ascii="Courier New" w:hAnsi="Courier New" w:cs="Courier New" w:hint="default"/>
      </w:rPr>
    </w:lvl>
    <w:lvl w:ilvl="5" w:tplc="1D5CB24C" w:tentative="1">
      <w:start w:val="1"/>
      <w:numFmt w:val="bullet"/>
      <w:lvlText w:val=""/>
      <w:lvlJc w:val="left"/>
      <w:pPr>
        <w:ind w:left="4320" w:hanging="360"/>
      </w:pPr>
      <w:rPr>
        <w:rFonts w:ascii="Wingdings" w:hAnsi="Wingdings" w:hint="default"/>
      </w:rPr>
    </w:lvl>
    <w:lvl w:ilvl="6" w:tplc="9E103FEE" w:tentative="1">
      <w:start w:val="1"/>
      <w:numFmt w:val="bullet"/>
      <w:lvlText w:val=""/>
      <w:lvlJc w:val="left"/>
      <w:pPr>
        <w:ind w:left="5040" w:hanging="360"/>
      </w:pPr>
      <w:rPr>
        <w:rFonts w:ascii="Symbol" w:hAnsi="Symbol" w:hint="default"/>
      </w:rPr>
    </w:lvl>
    <w:lvl w:ilvl="7" w:tplc="DD06AF40" w:tentative="1">
      <w:start w:val="1"/>
      <w:numFmt w:val="bullet"/>
      <w:lvlText w:val="o"/>
      <w:lvlJc w:val="left"/>
      <w:pPr>
        <w:ind w:left="5760" w:hanging="360"/>
      </w:pPr>
      <w:rPr>
        <w:rFonts w:ascii="Courier New" w:hAnsi="Courier New" w:cs="Courier New" w:hint="default"/>
      </w:rPr>
    </w:lvl>
    <w:lvl w:ilvl="8" w:tplc="A7B42046" w:tentative="1">
      <w:start w:val="1"/>
      <w:numFmt w:val="bullet"/>
      <w:lvlText w:val=""/>
      <w:lvlJc w:val="left"/>
      <w:pPr>
        <w:ind w:left="6480" w:hanging="360"/>
      </w:pPr>
      <w:rPr>
        <w:rFonts w:ascii="Wingdings" w:hAnsi="Wingdings" w:hint="default"/>
      </w:rPr>
    </w:lvl>
  </w:abstractNum>
  <w:abstractNum w:abstractNumId="2" w15:restartNumberingAfterBreak="0">
    <w:nsid w:val="7AA444DF"/>
    <w:multiLevelType w:val="hybridMultilevel"/>
    <w:tmpl w:val="B4C22142"/>
    <w:lvl w:ilvl="0" w:tplc="D78E235C">
      <w:start w:val="1"/>
      <w:numFmt w:val="bullet"/>
      <w:lvlText w:val=""/>
      <w:lvlJc w:val="left"/>
      <w:pPr>
        <w:tabs>
          <w:tab w:val="num" w:pos="720"/>
        </w:tabs>
        <w:ind w:left="720" w:hanging="360"/>
      </w:pPr>
      <w:rPr>
        <w:rFonts w:ascii="Symbol" w:hAnsi="Symbol" w:hint="default"/>
      </w:rPr>
    </w:lvl>
    <w:lvl w:ilvl="1" w:tplc="DCCAE11A" w:tentative="1">
      <w:start w:val="1"/>
      <w:numFmt w:val="bullet"/>
      <w:lvlText w:val="o"/>
      <w:lvlJc w:val="left"/>
      <w:pPr>
        <w:ind w:left="1440" w:hanging="360"/>
      </w:pPr>
      <w:rPr>
        <w:rFonts w:ascii="Courier New" w:hAnsi="Courier New" w:cs="Courier New" w:hint="default"/>
      </w:rPr>
    </w:lvl>
    <w:lvl w:ilvl="2" w:tplc="5B1C9C38" w:tentative="1">
      <w:start w:val="1"/>
      <w:numFmt w:val="bullet"/>
      <w:lvlText w:val=""/>
      <w:lvlJc w:val="left"/>
      <w:pPr>
        <w:ind w:left="2160" w:hanging="360"/>
      </w:pPr>
      <w:rPr>
        <w:rFonts w:ascii="Wingdings" w:hAnsi="Wingdings" w:hint="default"/>
      </w:rPr>
    </w:lvl>
    <w:lvl w:ilvl="3" w:tplc="B58C359A" w:tentative="1">
      <w:start w:val="1"/>
      <w:numFmt w:val="bullet"/>
      <w:lvlText w:val=""/>
      <w:lvlJc w:val="left"/>
      <w:pPr>
        <w:ind w:left="2880" w:hanging="360"/>
      </w:pPr>
      <w:rPr>
        <w:rFonts w:ascii="Symbol" w:hAnsi="Symbol" w:hint="default"/>
      </w:rPr>
    </w:lvl>
    <w:lvl w:ilvl="4" w:tplc="A4E2FDAC" w:tentative="1">
      <w:start w:val="1"/>
      <w:numFmt w:val="bullet"/>
      <w:lvlText w:val="o"/>
      <w:lvlJc w:val="left"/>
      <w:pPr>
        <w:ind w:left="3600" w:hanging="360"/>
      </w:pPr>
      <w:rPr>
        <w:rFonts w:ascii="Courier New" w:hAnsi="Courier New" w:cs="Courier New" w:hint="default"/>
      </w:rPr>
    </w:lvl>
    <w:lvl w:ilvl="5" w:tplc="418AB384" w:tentative="1">
      <w:start w:val="1"/>
      <w:numFmt w:val="bullet"/>
      <w:lvlText w:val=""/>
      <w:lvlJc w:val="left"/>
      <w:pPr>
        <w:ind w:left="4320" w:hanging="360"/>
      </w:pPr>
      <w:rPr>
        <w:rFonts w:ascii="Wingdings" w:hAnsi="Wingdings" w:hint="default"/>
      </w:rPr>
    </w:lvl>
    <w:lvl w:ilvl="6" w:tplc="830CFB16" w:tentative="1">
      <w:start w:val="1"/>
      <w:numFmt w:val="bullet"/>
      <w:lvlText w:val=""/>
      <w:lvlJc w:val="left"/>
      <w:pPr>
        <w:ind w:left="5040" w:hanging="360"/>
      </w:pPr>
      <w:rPr>
        <w:rFonts w:ascii="Symbol" w:hAnsi="Symbol" w:hint="default"/>
      </w:rPr>
    </w:lvl>
    <w:lvl w:ilvl="7" w:tplc="4404D1D2" w:tentative="1">
      <w:start w:val="1"/>
      <w:numFmt w:val="bullet"/>
      <w:lvlText w:val="o"/>
      <w:lvlJc w:val="left"/>
      <w:pPr>
        <w:ind w:left="5760" w:hanging="360"/>
      </w:pPr>
      <w:rPr>
        <w:rFonts w:ascii="Courier New" w:hAnsi="Courier New" w:cs="Courier New" w:hint="default"/>
      </w:rPr>
    </w:lvl>
    <w:lvl w:ilvl="8" w:tplc="F452779A" w:tentative="1">
      <w:start w:val="1"/>
      <w:numFmt w:val="bullet"/>
      <w:lvlText w:val=""/>
      <w:lvlJc w:val="left"/>
      <w:pPr>
        <w:ind w:left="6480" w:hanging="360"/>
      </w:pPr>
      <w:rPr>
        <w:rFonts w:ascii="Wingdings" w:hAnsi="Wingdings" w:hint="default"/>
      </w:rPr>
    </w:lvl>
  </w:abstractNum>
  <w:num w:numId="1" w16cid:durableId="150753204">
    <w:abstractNumId w:val="2"/>
  </w:num>
  <w:num w:numId="2" w16cid:durableId="885605809">
    <w:abstractNumId w:val="0"/>
  </w:num>
  <w:num w:numId="3" w16cid:durableId="1216703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4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872A7"/>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2D55"/>
    <w:rsid w:val="002431DA"/>
    <w:rsid w:val="0024691D"/>
    <w:rsid w:val="00247D27"/>
    <w:rsid w:val="00250A50"/>
    <w:rsid w:val="00251ED5"/>
    <w:rsid w:val="00255EB6"/>
    <w:rsid w:val="00257429"/>
    <w:rsid w:val="00260FA4"/>
    <w:rsid w:val="00261183"/>
    <w:rsid w:val="00262A66"/>
    <w:rsid w:val="00263140"/>
    <w:rsid w:val="002631C8"/>
    <w:rsid w:val="00265133"/>
    <w:rsid w:val="002655C1"/>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5220"/>
    <w:rsid w:val="002D6664"/>
    <w:rsid w:val="002E21B8"/>
    <w:rsid w:val="002E7DF9"/>
    <w:rsid w:val="002F097B"/>
    <w:rsid w:val="002F2147"/>
    <w:rsid w:val="002F287F"/>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1C03"/>
    <w:rsid w:val="00333930"/>
    <w:rsid w:val="00336BA4"/>
    <w:rsid w:val="00336C7A"/>
    <w:rsid w:val="00337392"/>
    <w:rsid w:val="00337659"/>
    <w:rsid w:val="003427C9"/>
    <w:rsid w:val="00343A92"/>
    <w:rsid w:val="00344530"/>
    <w:rsid w:val="003446DC"/>
    <w:rsid w:val="00347B4A"/>
    <w:rsid w:val="003500C3"/>
    <w:rsid w:val="003523BD"/>
    <w:rsid w:val="00352681"/>
    <w:rsid w:val="003534D8"/>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18C"/>
    <w:rsid w:val="003C36FD"/>
    <w:rsid w:val="003C664C"/>
    <w:rsid w:val="003D726D"/>
    <w:rsid w:val="003E0875"/>
    <w:rsid w:val="003E0BB8"/>
    <w:rsid w:val="003E6CB0"/>
    <w:rsid w:val="003F0D7E"/>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03C3"/>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564E"/>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261"/>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35E5"/>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14A5"/>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0D4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163"/>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3C13"/>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193A"/>
    <w:rsid w:val="00A12330"/>
    <w:rsid w:val="00A1259F"/>
    <w:rsid w:val="00A1446F"/>
    <w:rsid w:val="00A151B5"/>
    <w:rsid w:val="00A220FF"/>
    <w:rsid w:val="00A227E0"/>
    <w:rsid w:val="00A232E4"/>
    <w:rsid w:val="00A24AAD"/>
    <w:rsid w:val="00A25F84"/>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6B8A"/>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4768"/>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203"/>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2EAC"/>
    <w:rsid w:val="00CC7131"/>
    <w:rsid w:val="00CC7B9E"/>
    <w:rsid w:val="00CD06CA"/>
    <w:rsid w:val="00CD076A"/>
    <w:rsid w:val="00CD180C"/>
    <w:rsid w:val="00CD37DA"/>
    <w:rsid w:val="00CD4F2C"/>
    <w:rsid w:val="00CD731C"/>
    <w:rsid w:val="00CD7A59"/>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47D1"/>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2DE1"/>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6CF4"/>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18D9"/>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6D55"/>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1C77E-D188-450B-96BB-1A1C1EE1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54768"/>
    <w:rPr>
      <w:sz w:val="16"/>
      <w:szCs w:val="16"/>
    </w:rPr>
  </w:style>
  <w:style w:type="paragraph" w:styleId="CommentText">
    <w:name w:val="annotation text"/>
    <w:basedOn w:val="Normal"/>
    <w:link w:val="CommentTextChar"/>
    <w:semiHidden/>
    <w:unhideWhenUsed/>
    <w:rsid w:val="00B54768"/>
    <w:rPr>
      <w:sz w:val="20"/>
      <w:szCs w:val="20"/>
    </w:rPr>
  </w:style>
  <w:style w:type="character" w:customStyle="1" w:styleId="CommentTextChar">
    <w:name w:val="Comment Text Char"/>
    <w:basedOn w:val="DefaultParagraphFont"/>
    <w:link w:val="CommentText"/>
    <w:semiHidden/>
    <w:rsid w:val="00B54768"/>
  </w:style>
  <w:style w:type="paragraph" w:styleId="CommentSubject">
    <w:name w:val="annotation subject"/>
    <w:basedOn w:val="CommentText"/>
    <w:next w:val="CommentText"/>
    <w:link w:val="CommentSubjectChar"/>
    <w:semiHidden/>
    <w:unhideWhenUsed/>
    <w:rsid w:val="00B54768"/>
    <w:rPr>
      <w:b/>
      <w:bCs/>
    </w:rPr>
  </w:style>
  <w:style w:type="character" w:customStyle="1" w:styleId="CommentSubjectChar">
    <w:name w:val="Comment Subject Char"/>
    <w:basedOn w:val="CommentTextChar"/>
    <w:link w:val="CommentSubject"/>
    <w:semiHidden/>
    <w:rsid w:val="00B54768"/>
    <w:rPr>
      <w:b/>
      <w:bCs/>
    </w:rPr>
  </w:style>
  <w:style w:type="paragraph" w:styleId="HTMLPreformatted">
    <w:name w:val="HTML Preformatted"/>
    <w:basedOn w:val="Normal"/>
    <w:link w:val="HTMLPreformattedChar"/>
    <w:semiHidden/>
    <w:unhideWhenUsed/>
    <w:rsid w:val="00706261"/>
    <w:rPr>
      <w:rFonts w:ascii="Consolas" w:hAnsi="Consolas"/>
      <w:sz w:val="20"/>
      <w:szCs w:val="20"/>
    </w:rPr>
  </w:style>
  <w:style w:type="character" w:customStyle="1" w:styleId="HTMLPreformattedChar">
    <w:name w:val="HTML Preformatted Char"/>
    <w:basedOn w:val="DefaultParagraphFont"/>
    <w:link w:val="HTMLPreformatted"/>
    <w:semiHidden/>
    <w:rsid w:val="00706261"/>
    <w:rPr>
      <w:rFonts w:ascii="Consolas" w:hAnsi="Consolas"/>
    </w:rPr>
  </w:style>
  <w:style w:type="paragraph" w:styleId="Revision">
    <w:name w:val="Revision"/>
    <w:hidden/>
    <w:uiPriority w:val="99"/>
    <w:semiHidden/>
    <w:rsid w:val="002655C1"/>
    <w:rPr>
      <w:sz w:val="24"/>
      <w:szCs w:val="24"/>
    </w:rPr>
  </w:style>
  <w:style w:type="paragraph" w:styleId="ListParagraph">
    <w:name w:val="List Paragraph"/>
    <w:basedOn w:val="Normal"/>
    <w:uiPriority w:val="34"/>
    <w:qFormat/>
    <w:rsid w:val="00CD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4730</Characters>
  <Application>Microsoft Office Word</Application>
  <DocSecurity>4</DocSecurity>
  <Lines>103</Lines>
  <Paragraphs>32</Paragraphs>
  <ScaleCrop>false</ScaleCrop>
  <HeadingPairs>
    <vt:vector size="2" baseType="variant">
      <vt:variant>
        <vt:lpstr>Title</vt:lpstr>
      </vt:variant>
      <vt:variant>
        <vt:i4>1</vt:i4>
      </vt:variant>
    </vt:vector>
  </HeadingPairs>
  <TitlesOfParts>
    <vt:vector size="1" baseType="lpstr">
      <vt:lpstr>BA - SJR00093 (Committee Report (Substituted))</vt:lpstr>
    </vt:vector>
  </TitlesOfParts>
  <Company>State of Texas</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31429</dc:subject>
  <dc:creator>State of Texas</dc:creator>
  <dc:description>SJR 93 by Schwertner-(H)State Affairs</dc:description>
  <cp:lastModifiedBy>Damian Duarte</cp:lastModifiedBy>
  <cp:revision>2</cp:revision>
  <cp:lastPrinted>2003-11-26T17:21:00Z</cp:lastPrinted>
  <dcterms:created xsi:type="dcterms:W3CDTF">2023-05-20T17:28:00Z</dcterms:created>
  <dcterms:modified xsi:type="dcterms:W3CDTF">2023-05-20T17:28:00Z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23.138.2217</vt:lpwstr>
  </property>
</Properties>
</file>