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agreements to create jobs and to generate state and local tax revenue for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S to read as follows:</w:t>
      </w:r>
    </w:p>
    <w:p w:rsidR="003F3435" w:rsidRDefault="0032493E">
      <w:pPr>
        <w:spacing w:line="480" w:lineRule="auto"/>
        <w:jc w:val="center"/>
      </w:pPr>
      <w:r>
        <w:rPr>
          <w:u w:val="single"/>
        </w:rPr>
        <w:t xml:space="preserve">Subchapter S. AGREEMENTS TO CREATE JOBS AND TO GENERATE STATE AND LOCAL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403.6005.</w:t>
      </w:r>
      <w:r>
        <w:rPr>
          <w:u w:val="single"/>
        </w:rPr>
        <w:t xml:space="preserve"> </w:t>
      </w:r>
      <w:r>
        <w:rPr>
          <w:u w:val="single"/>
        </w:rPr>
        <w:t xml:space="preserve"> </w:t>
      </w:r>
      <w:r>
        <w:rPr>
          <w:u w:val="single"/>
        </w:rPr>
        <w:t xml:space="preserve">PURPOSES.  The purposes of this subchapter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new, high-paying permanent jobs and construction jobs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financially beneficial economic development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temporary and limited competitive economic incentive for attracting to this state large-scale manufacturing projects that, in the absence of this subchapter, would likely locate in another state or 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security and resource independence of this state and nation by encouraging infrastructure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relocation of offshore manufacturing facilities to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 this state a national and international leader in new and innovative technologies;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establishment of advanced manufacturing industry sectors critical to national defense and security;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create new wealth, raise personal income, and foster long-term expansion of state and local tax bases;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growing and sustainable economic opportunity for the citizens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"Agreement" means a written agreement between the owner of a new investment project and a school district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investment project" means the construction and operation of new improvements to realty or placement into service in this state new tangible personal property that did not exist on the date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industry"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manufacturing;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critical infrastructure;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national and state security and critical domestic supply chain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APPLICATION.  (a)  A person may apply to the school district for approval of an agreement under this subchapter. An application must be made on a form prescribed by the comptroller and contain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name, address, Texas taxpayer identification number, and contact information of an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form of business and, if applicable, the name, address, and Texas taxpayer identification number of the applicant's parent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district's name and address, the county in which the district is located or the county in which the project is located if the district is in more than one county, and the contact information of the district's authorized representative;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address of the project or proposed facility, if different from the applicant's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brief description of the project, including the classification of the project as designated by the North American Industry Classification System as of the date of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brief description of the eligible property for which the applicant is seeking an agreement;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estimated dates of commencement of construction, completion of construction, and commencement of commercial operations of the project;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and location of the reinvestment zone or enterprise zone in which the project is located;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brief summary of the economic benefits of the project;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applicant's signature and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 an application fee payable to the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school district shall forward the application to the comptroller within 30 days of receipt from the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confidentiality requirements of Section 403.616, the comptroller shall publish the application and the information described by Subsections (b)(2)-(5), and any subsequent revisions of the application or the information on the comptroller's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ECONOMIC BENEFIT STATEMENT.  (a)  The applicant shall submit with the application an economic benefit statement containing estimates of the economic and fiscal impacts on the school district and the state for the 25-year period commencing on the date on which the applicant estimates construction of the project will commence.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criteria for the methodology of the economic benefit statement submitted by the applicant and may require the applicant to supplement or modify the statement to ensure the accuracy of the estimates listed in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COMPTROLLER RECOMMENDATION OF APPLICATION.  (a)  The comptroller shall recommend an application for approval by the school district if the comptroller finds that the project provides a net economic or financial benefit to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that the project does not meet the criteria established by Subsection (a), the comptroller shall not recommend the application for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403.605.</w:t>
      </w:r>
      <w:r>
        <w:rPr>
          <w:u w:val="single"/>
        </w:rPr>
        <w:t xml:space="preserve"> </w:t>
      </w:r>
      <w:r>
        <w:rPr>
          <w:u w:val="single"/>
        </w:rPr>
        <w:t xml:space="preserve"> </w:t>
      </w:r>
      <w:r>
        <w:rPr>
          <w:u w:val="single"/>
        </w:rPr>
        <w:t xml:space="preserve">SCHOOL DISTRICT APPROVAL.  (a)  Within days of receiving a recommendation to approve an application from the comptroller under Section 403.604, the school district shall either approve or disapprove of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403.606.</w:t>
      </w:r>
      <w:r>
        <w:rPr>
          <w:u w:val="single"/>
        </w:rPr>
        <w:t xml:space="preserve"> </w:t>
      </w:r>
      <w:r>
        <w:rPr>
          <w:u w:val="single"/>
        </w:rPr>
        <w:t xml:space="preserve"> </w:t>
      </w:r>
      <w:r>
        <w:rPr>
          <w:u w:val="single"/>
        </w:rPr>
        <w:t xml:space="preserve">REPORTS BY APPLICANT.  The comptroller shall promulgate an online reporting form for applicants to submit to the agency by April 1 of each even-numbered year that reports the following information for each year since the application was approved and for three years after the limitation has expired: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number, name of the applicant, name of the school district which levies ad valorem taxes on the project, and name and contact information for the applicant's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parcel number of the property subject to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jobs created by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wages paid;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total amount of the investment;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appraised value of all property associated with the project, including property subject to the agreement and any other real or tangible personal property owned by the applicant as part of the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taxable value of all property associated with the project, including property subject to the agreement and any other real or tangible personal property owned by the applicant as part of the project, for school district maintenance and operations ad valorem tax purposes;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amount of school district maintenance and operations ad valorem taxes paid by the applicant;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total amount of school district interest and sinking fund ad valorem taxes paid by the applicant;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amount for school district ad valorem taxes the applicant would have paid in the absence of an agreement;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total amount of payments other than ad valorem taxes made by the applicant to the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403.607.</w:t>
      </w:r>
      <w:r>
        <w:rPr>
          <w:u w:val="single"/>
        </w:rPr>
        <w:t xml:space="preserve"> </w:t>
      </w:r>
      <w:r>
        <w:rPr>
          <w:u w:val="single"/>
        </w:rPr>
        <w:t xml:space="preserve"> </w:t>
      </w:r>
      <w:r>
        <w:rPr>
          <w:u w:val="single"/>
        </w:rPr>
        <w:t xml:space="preserve">REPORTS BY SCHOOL DISTRICT.  (a)  A school district that levies ad valorem taxes on the project shall submit at its own expense to the comptroller a report not later than April 1 of each even-numbered year since the application was approved and for three years after the limitation has expired.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payments other than ad valorem taxes received from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any other direct or indirect benefits received from the applicant such as in-kind contributions or other financial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purposes for which the payments and benefits were used by the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promulgate a form to be used by the school district for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403.608.</w:t>
      </w:r>
      <w:r>
        <w:rPr>
          <w:u w:val="single"/>
        </w:rPr>
        <w:t xml:space="preserve"> </w:t>
      </w:r>
      <w:r>
        <w:rPr>
          <w:u w:val="single"/>
        </w:rPr>
        <w:t xml:space="preserve"> </w:t>
      </w:r>
      <w:r>
        <w:rPr>
          <w:u w:val="single"/>
        </w:rPr>
        <w:t xml:space="preserve">DISTRIBUTION OF SAVINGS FROM THE AGREEMENT.  (a)  If an application is approved under this subchapter, the applicant shall not later than January 31 of each year of the term of the agreement and as provided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the greater percentage of any tax savings resulting from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remit the lesser percentage of any tax savings resulting from the agreement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distribute the funds received under Subsection (a) as provided by rule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percentage of the funds received are payable to the school district that levies ad valorem taxes on the project, to be used solely for direct instructional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lesser percentage of the funds received shall be deposited to the credit of the general revenue fund for distribution as specified by a general appropriations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shall annually calculate the tax savings from the agreement by multiplying the school district maintenance and operations ad valorem tax rate by the difference between the taxable value in the absence of the agreement and the taxable value as specified by the agreement, as shown on the tax bill received by the applicant from the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403.609.</w:t>
      </w:r>
      <w:r>
        <w:rPr>
          <w:u w:val="single"/>
        </w:rPr>
        <w:t xml:space="preserve"> </w:t>
      </w:r>
      <w:r>
        <w:rPr>
          <w:u w:val="single"/>
        </w:rPr>
        <w:t xml:space="preserve"> </w:t>
      </w:r>
      <w:r>
        <w:rPr>
          <w:u w:val="single"/>
        </w:rPr>
        <w:t xml:space="preserve">RULES AND FORMS. The comptroller shall adopt rules and forms necessary for the implementation and administration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