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88R18078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Anderson, Toth,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third-party review of plats and property development plans, permits, and similar documents, and the inspection of an improvement related to such a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7, Local Government Code, is amended by adding Chapter 247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247. </w:t>
      </w:r>
      <w:r>
        <w:rPr>
          <w:u w:val="single"/>
        </w:rPr>
        <w:t xml:space="preserve"> </w:t>
      </w:r>
      <w:r>
        <w:rPr>
          <w:u w:val="single"/>
        </w:rPr>
        <w:t xml:space="preserve">THIRD-PARTY REVIEW OF DEVELOPMENT DOCUMENTS AND INSPECTION OF IMPROVEMENTS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document" means a document, including an application for a plat, plan, or development permit, related to the development of or improvement to land that is required by law, ordinance, rule, or other measure to be approved by a regulatory authority in order for a person to initiate, engage in, or complete the development or improvement.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inspection" means the inspection of an improvement to land required by a regulatory authority as part of a project to develop the land or construct or improve an improvement to the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permit" means a permit required by a regulatory authority to develop land or construct or improve an improvement to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"Plan" has the meaning assigned by Section 212.001.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"Plat" has the meaning assigned by Section 212.001 except that the term includes a development plat under Subchapter B, Chapter 212.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"Regulatory authority" means the governing body of a political subdivision, or a department, board, commission, or other entity of the political subdivision, responsible for processing or approving a development document or conducting a development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REVIEW OR INSPECTION REQUIRED.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If a regulatory authority does not approve, conditionally approve, or disapprove a development document by the 15th day after the date prescribed by a provision of this code for the approval, conditional approval, or disapproval of the document, any required review of the document may be performed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whose work is the subject of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to review development documents;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to review development documents, if the regulatory authority has approved the person to review development documents;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regulatory authority does not conduct a required development inspection by the 15th day after the date prescribed by a provision of this code for conducting the inspection, the inspection may be conducted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land or improvement to the land that is the subject of the inspection;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 a person whose work is the subject of the inspection;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 certified to inspect buildings by the International Code Council;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as a building inspector;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as a building inspector, if the regulatory authority has approved the person to perform inspections;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FEE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impose a fee related to the review of a development document or the inspection of an improvement conducted under Section 247.002.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reviews a development document or conducts a development inspection under Section 247.002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document, conduct the inspection, and take all other related actions in accordance with all applicable provisions of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15th day after the date the person completes the review or inspection, provide notice to the regulatory authority of the results of the review or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regulatory authority may prescribe a reasonable format for the notice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request or require an applicant to waive a deadline or other procedure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APPEAL.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appeal to the governing body of a political subdivision: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to conditionally approve or disapprove a development document made by the regulatory authority for the political subdivision or a person authorized by Section 247.002(a) to perform the review of the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regarding a development inspection conducted by the regulatory authority or a person authorized by Section 247.002(b) to perform the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must file an appeal under this section not later than the 15th day after the date the decision being appealed is made.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governing body hearing the appeal does not affirm the decision being appealed by a majority vote on or before the 60th day after the date the appeal is filed: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document that is the subject of the appeal is considered approved;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inspection that is the subject of the appeal is waived.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247, Local Government Code, as added by this Act, applies only to a development document or a request for a development inspection, as those terms are defined by Section 247.001 of that code, that is submitted to the appropriate regulatory authority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