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H.B.</w:t>
      </w:r>
      <w:r xml:space="preserve">
        <w:t> </w:t>
      </w:r>
      <w:r>
        <w:t xml:space="preserve">No.</w:t>
      </w:r>
      <w:r xml:space="preserve">
        <w:t> </w:t>
      </w:r>
      <w:r>
        <w:t xml:space="preserve">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the report of certain sales of multiple firearms and multiple firearm magazines;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6, Business &amp; Commerce Code, is amended by adding Chapter 205 to read as follows:</w:t>
      </w:r>
    </w:p>
    <w:p w:rsidR="003F3435" w:rsidRDefault="0032493E">
      <w:pPr>
        <w:spacing w:line="480" w:lineRule="auto"/>
        <w:jc w:val="center"/>
      </w:pPr>
      <w:r>
        <w:rPr>
          <w:u w:val="single"/>
        </w:rPr>
        <w:t xml:space="preserve">CHAPTER 205.  REPORTING OF CERTAIN SALES OF MULTIPLE FIREARMS AND MULTIPLE FIREARM MAGAZINES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"Department" means the Department of Public Safety of the State of Texas.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"Firearm" has the meaning assigned by Section 46.01, Penal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"Multiple firearm sales report" means the form described by Section 205.101, Business &amp; Commerce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"Retailer" has the meaning assigned by Section 151.008, Tax Code.</w:t>
      </w:r>
    </w:p>
    <w:p w:rsidR="003F3435" w:rsidRDefault="0032493E">
      <w:pPr>
        <w:spacing w:line="480" w:lineRule="auto"/>
        <w:jc w:val="center"/>
      </w:pPr>
      <w:r>
        <w:rPr>
          <w:u w:val="single"/>
        </w:rPr>
        <w:t xml:space="preserve">SUBCHAPTER B.  REPORTING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205.051.</w:t>
      </w:r>
      <w:r>
        <w:rPr>
          <w:u w:val="single"/>
        </w:rPr>
        <w:t xml:space="preserve"> </w:t>
      </w:r>
      <w:r>
        <w:rPr>
          <w:u w:val="single"/>
        </w:rPr>
        <w:t xml:space="preserve"> </w:t>
      </w:r>
      <w:r>
        <w:rPr>
          <w:u w:val="single"/>
        </w:rPr>
        <w:t xml:space="preserve">REPORTING OF CERTAIN SALES REQUIRED.  (a)  A multiple firearm sales report is required when a retailer sells or otherwise transfers to the same buyer or transferee within five consecutive days: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more than one firearm;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more than three detachable firearm magazines, other than detachable firearm magazines originally packaged with a firearm by the manufacturer that are sold or otherwise transferred with the firearm.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multiple firearm sales report shall be transmitted to the department before completing a sale or transfer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Within 24 hours after receiving a multiple firearm sales report, the department shall transmit it to the sheriff of the county in which the retailer operates and the sheriff of the county in which the buyer or transferee resides.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205.052.</w:t>
      </w:r>
      <w:r>
        <w:rPr>
          <w:u w:val="single"/>
        </w:rPr>
        <w:t xml:space="preserve"> </w:t>
      </w:r>
      <w:r>
        <w:rPr>
          <w:u w:val="single"/>
        </w:rPr>
        <w:t xml:space="preserve"> </w:t>
      </w:r>
      <w:r>
        <w:rPr>
          <w:u w:val="single"/>
        </w:rPr>
        <w:t xml:space="preserve">FAILURE TO REPORT; OFFENSE.  (a)  A person who intentionally, knowingly, recklessly, or with criminal negligence fails to transmit a multiple firearm sales report as required by this subchapter commits an offense.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jc w:val="center"/>
      </w:pPr>
      <w:r>
        <w:rPr>
          <w:u w:val="single"/>
        </w:rPr>
        <w:t xml:space="preserve">SUBCHAPTER C.  MULTIPLE FIREARM SALES REPORT FORM</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205.101.</w:t>
      </w:r>
      <w:r>
        <w:rPr>
          <w:u w:val="single"/>
        </w:rPr>
        <w:t xml:space="preserve"> </w:t>
      </w:r>
      <w:r>
        <w:rPr>
          <w:u w:val="single"/>
        </w:rPr>
        <w:t xml:space="preserve"> </w:t>
      </w:r>
      <w:r>
        <w:rPr>
          <w:u w:val="single"/>
        </w:rPr>
        <w:t xml:space="preserve">FORM.  (a)  Not later than September 1, 2023, the department shall develop a form for making a multiple firearm sales report.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form shall identify the dates and locations of the sales or transfers, the firearms or detachable magazines sold or transferred, and the identity of the retailer and the buyer or transferee, including a copy of the identification provided by the buyer or transferee.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When the form required by this section is developed, the department shall post it on the department's internet website.  The post shall include an email address or electronic portal for submitting the form and instructions for doing so.</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205.102.</w:t>
      </w:r>
      <w:r>
        <w:rPr>
          <w:u w:val="single"/>
        </w:rPr>
        <w:t xml:space="preserve"> </w:t>
      </w:r>
      <w:r>
        <w:rPr>
          <w:u w:val="single"/>
        </w:rPr>
        <w:t xml:space="preserve"> </w:t>
      </w:r>
      <w:r>
        <w:rPr>
          <w:u w:val="single"/>
        </w:rPr>
        <w:t xml:space="preserve">CONFIDENTIALITY.  Multiple firearm sales reports are confidential</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