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88R2138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H.B.</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sales and use tax exemption for maternity clothing.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MATERNITY CLOTHING.  (a) </w:t>
      </w:r>
      <w:r>
        <w:rPr>
          <w:u w:val="single"/>
        </w:rPr>
        <w:t xml:space="preserve"> </w:t>
      </w:r>
      <w:r>
        <w:rPr>
          <w:u w:val="single"/>
        </w:rPr>
        <w:t xml:space="preserve">In this section, "maternity clothing" means clothing intended for a woman to wear during pregnancy and the postpartum period that is designed to accommodate the changes in body size and shape that occur as a result of a pregnancy.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storage, use, or other consumption of an article of maternity clothing is exempted from the taxes imposed by this chapter.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