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enhancing the punishment for certain conduct constituting the criminal offense of aggravated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Todd-Hogland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22.02(b),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serious bodily injury to a person whose relationship to or association with the defendant is described by Section 71.0021(b), 71.003, or 71.005, Family Code;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traumatic brain or spine injury to another that results in a persistent vegetative state or irreversible paralysis;</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w:t>
      </w:r>
    </w:p>
    <w:p w:rsidR="003F3435" w:rsidRDefault="0032493E">
      <w:pPr>
        <w:spacing w:line="480" w:lineRule="auto"/>
        <w:ind w:firstLine="2160"/>
        <w:jc w:val="both"/>
      </w:pPr>
      <w:r>
        <w:t xml:space="preserve">(D)</w:t>
      </w:r>
      <w:r xml:space="preserve">
        <w:t> </w:t>
      </w:r>
      <w:r xml:space="preserve">
        <w:t> </w:t>
      </w:r>
      <w:r>
        <w:t xml:space="preserve">against a person the actor knows is a process server while the person is performing a duty as a process server; or</w:t>
      </w:r>
    </w:p>
    <w:p w:rsidR="003F3435" w:rsidRDefault="0032493E">
      <w:pPr>
        <w:spacing w:line="480" w:lineRule="auto"/>
        <w:ind w:firstLine="2160"/>
        <w:jc w:val="both"/>
      </w:pPr>
      <w:r>
        <w:t xml:space="preserve">(E)</w:t>
      </w:r>
      <w:r xml:space="preserve">
        <w:t> </w:t>
      </w:r>
      <w:r xml:space="preserve">
        <w:t> </w:t>
      </w:r>
      <w:r>
        <w:t xml:space="preserve">against a person the actor knows is a security officer while the officer is performing a duty as a security officer; or</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 was passed by the House on March 30, 2023, by the following vote:</w:t>
      </w:r>
      <w:r xml:space="preserve">
        <w:t> </w:t>
      </w:r>
      <w:r xml:space="preserve">
        <w:t> </w:t>
      </w:r>
      <w:r>
        <w:t xml:space="preserve">Yeas 145, Nays 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 was passed by the Senate on May 15,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