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88R1621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increases in the appraised value for ad valorem tax purposes of residence homesteads and single-family residences other than residence homesteads.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property</w:t>
      </w:r>
      <w:r>
        <w:t xml:space="preserve"> [</w:t>
      </w:r>
      <w:r>
        <w:rPr>
          <w:strike/>
        </w:rPr>
        <w:t xml:space="preserve">a homestead</w:t>
      </w:r>
      <w:r>
        <w:t xml:space="preserve">] to which Section 23.23 </w:t>
      </w:r>
      <w:r>
        <w:rPr>
          <w:u w:val="single"/>
        </w:rPr>
        <w:t xml:space="preserve">or 23.231</w:t>
      </w:r>
      <w:r>
        <w:t xml:space="preserve">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SINGLE-FAMILY RESIDENCE OTHER THAN RESIDENCE HOMESTEAD.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recovery program" means the disaster recovery program administered by the General Land Office or by a political subdivision of this state that is funded with community development block grant disaster recovery money authorized by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 improvement" means an improvement to real property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trust"</w:t>
      </w:r>
      <w:r>
        <w:rPr>
          <w:u w:val="single"/>
        </w:rPr>
        <w:t xml:space="preserve"> </w:t>
      </w:r>
      <w:r>
        <w:rPr>
          <w:u w:val="single"/>
        </w:rPr>
        <w:t xml:space="preserve">has the meaning assigned by Section 11.13.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"Single-family residence"</w:t>
      </w:r>
      <w:r>
        <w:rPr>
          <w:u w:val="single"/>
        </w:rPr>
        <w:t xml:space="preserve"> </w:t>
      </w:r>
      <w:r>
        <w:rPr>
          <w:u w:val="single"/>
        </w:rPr>
        <w:t xml:space="preserve">means a structure, including a mobile home, together with the land, not to exceed 20 acres, and improvements used in the residential occupancy of the structure, if the structure and the land and improvements have identical ownership,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owned by one or more individuals, either directly or through a beneficial interest in a qualifying trust;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designed or adapted for human residence;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as a single-family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residence homestead that qualifies for an exemption under Section 11.13;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appraised under Subchapter C, D, E, F, G, or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requirements of Section 25.18 and regardless of whether the appraisal office has appraised the property and determined the market value of the property for the tax year, an appraisal office may increase the appraised value of a single-family residence to which this section applies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appraised value of the property for the preceding tax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appraising a single-family residence to which this section applies,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 computed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limitation provided by Subsection (c) takes effect as to a single-family residence on January 1 of the tax year following the first tax year in which the owner owns the property on January 1 and in which the property is used as a single-family residence.  The limitation expires on January 1 of the tax year following the tax year in which the owner of the property ceases to own the property or the property ceases to be used as a single-family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(e), a person who acquired a single-family residence to which this section applies before the 2023 tax year is considered to have acquired the property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Subsections (a) and (c) and except as provided by Subdivision (2) of this subsection, an improvement to real property that would otherwise constitute a new improvement is not treated as a new improvement if the improvement is a replacement structure for a structure that was rendered uninhabitable or unusable by a casualty or by wind or water damage.  For purposes of appraising the property under Subsection (c)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(g)(2), and only to the extent necessary to satisfy the requirements of the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rPr>
          <w:u w:val="single"/>
        </w:rPr>
        <w:t xml:space="preserve">(4-a) a statement of whether the property qualifies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rPr>
          <w:u w:val="single"/>
        </w:rPr>
        <w:t xml:space="preserve">(2-a) a statement of whether the property qualifies for the limitation on appraised value provided by Section 23.231;</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the appraisal of property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2024, but only if the constitutional amendment proposed by the 88th Legislature, Regular Session, 2023, to authorize the legislature to limit the maximum appraised value of a residence homestead for ad valorem tax purposes to 105 percent or more of the appraised value of the property for the preceding tax year and to limit the maximum appraised value of a single-family residence other than a residence homestead for those purposes to 110 percent or more of the appraised value of the property for the preceding tax year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