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88R22732 LHC-F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Bernal, Lujan, Dorazio,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installment payments of ad valorem taxes imposed on residence homesteads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31.031(a),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individual 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disabled or at least 65 years of age;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qualified for an exemption under Section 11.13(c);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individual 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disabled veteran or the unmarried surviving spouse of a disabled veteran;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qualified for an exemption under Section 11.132 or 11.22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is qualified for an exemption under Section 11.13 for property located in a county with a population of more than 1.5 million in which more than 70 percent of the population lives in a single municipality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