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88R1032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El Paso</w:t>
      </w:r>
      <w:r xml:space="preserve">
        <w:tab wTab="150" tlc="none" cTlc="0"/>
      </w:r>
      <w:r>
        <w:t xml:space="preserve">H.B.</w:t>
      </w:r>
      <w:r xml:space="preserve">
        <w:t> </w:t>
      </w:r>
      <w:r>
        <w:t xml:space="preserve">No.</w:t>
      </w:r>
      <w:r xml:space="preserve">
        <w:t> </w:t>
      </w:r>
      <w:r>
        <w:t xml:space="preserve">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Texas Commission on Assessment and Accountability.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39, Education Code, is amended by adding Subchapter N to read as follows:</w:t>
      </w:r>
    </w:p>
    <w:p w:rsidR="003F3435" w:rsidRDefault="0032493E">
      <w:pPr>
        <w:spacing w:line="480" w:lineRule="auto"/>
        <w:jc w:val="center"/>
      </w:pPr>
      <w:r>
        <w:rPr>
          <w:u w:val="single"/>
        </w:rPr>
        <w:t xml:space="preserve">SUBCHAPTER N. TEXAS COMMISSION ON ASSESSMENT AND ACCOUNTABILITY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39.451.</w:t>
      </w:r>
      <w:r>
        <w:rPr>
          <w:u w:val="single"/>
        </w:rPr>
        <w:t xml:space="preserve"> </w:t>
      </w:r>
      <w:r>
        <w:rPr>
          <w:u w:val="single"/>
        </w:rPr>
        <w:t xml:space="preserve"> </w:t>
      </w:r>
      <w:r>
        <w:rPr>
          <w:u w:val="single"/>
        </w:rPr>
        <w:t xml:space="preserve">DEFINITION.  In this subchapter, "commission" means the Texas Commission on Assessment and Accountability.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39.452.</w:t>
      </w:r>
      <w:r>
        <w:rPr>
          <w:u w:val="single"/>
        </w:rPr>
        <w:t xml:space="preserve"> </w:t>
      </w:r>
      <w:r>
        <w:rPr>
          <w:u w:val="single"/>
        </w:rPr>
        <w:t xml:space="preserve"> </w:t>
      </w:r>
      <w:r>
        <w:rPr>
          <w:u w:val="single"/>
        </w:rPr>
        <w:t xml:space="preserve">TEXAS COMMISSION ON ASSESSMENT AND ACCOUNTABILITY.  (a)  The commission is established to develop and make recommendations for improvements to the current public school assessment and accountability systems.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is composed of 19 members, consisting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four members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seven members appointed by 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seven members appointed by the speaker of the house of representatives;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member of the State Board of Education, as designated by the chair of that board.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members appointed by the governor must have an interest in public education and include at least: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person who is a current classroom teacher: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a grade and subject for which an assessment instrument required under Section 39.023 is administered;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 at least 10 years of teaching experience at a Title 1 campus;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person who is a member of the business community;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person who is a member of the civic community.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appointments made by the lieutenant governor and the speaker of the house of representatives must each consist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members of the applicable legislative chamber;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superintendent in the public school system;</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elected member of the board of trustees of a school district;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parent of a student in the public school system;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public school district staff member who serves on the Accountability Technical Advisory Committee established by rule.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making appointments under Subsections (b)(1), (2), and (3), the governor, lieutenant governor, and speaker of the house of representatives shall coordinate to ensure that the membership of the commission reflects, to the extent possible, the ethnic and geographic diversity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39.453.</w:t>
      </w:r>
      <w:r>
        <w:rPr>
          <w:u w:val="single"/>
        </w:rPr>
        <w:t xml:space="preserve"> </w:t>
      </w:r>
      <w:r>
        <w:rPr>
          <w:u w:val="single"/>
        </w:rPr>
        <w:t xml:space="preserve"> </w:t>
      </w:r>
      <w:r>
        <w:rPr>
          <w:u w:val="single"/>
        </w:rPr>
        <w:t xml:space="preserve">PRESIDING OFFICER AND MEMBERS.  (a) The governor shall designate the presiding officer of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commission member may not be an employee, contractor, consultant, or vendor of the agency or a regional education service center.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39.454.</w:t>
      </w:r>
      <w:r>
        <w:rPr>
          <w:u w:val="single"/>
        </w:rPr>
        <w:t xml:space="preserve"> </w:t>
      </w:r>
      <w:r>
        <w:rPr>
          <w:u w:val="single"/>
        </w:rPr>
        <w:t xml:space="preserve"> </w:t>
      </w:r>
      <w:r>
        <w:rPr>
          <w:u w:val="single"/>
        </w:rPr>
        <w:t xml:space="preserve">COMPENSATION AND REIMBURSEMENT.  A commission member is not entitled to compensation for service on the commission but is entitled to reimbursement for actual and necessary expenses incurred in performing commission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39.455.</w:t>
      </w:r>
      <w:r>
        <w:rPr>
          <w:u w:val="single"/>
        </w:rPr>
        <w:t xml:space="preserve"> </w:t>
      </w:r>
      <w:r>
        <w:rPr>
          <w:u w:val="single"/>
        </w:rPr>
        <w:t xml:space="preserve"> </w:t>
      </w:r>
      <w:r>
        <w:rPr>
          <w:u w:val="single"/>
        </w:rPr>
        <w:t xml:space="preserve">ADMINISTRATIVE SUPPORT AND FUNDING.  (a)  The agency shall provide administrative support for the commission.  The agency, with assistance as necessary from the Texas Higher Education Coordinating Board, shall provide data and analysis as requested by the commission, including data available in the education research centers established under Section 1.005.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Funding for the commission's administrative and operational expenses shall be provided by legislative appropriation made to the agency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39.456.</w:t>
      </w:r>
      <w:r>
        <w:rPr>
          <w:u w:val="single"/>
        </w:rPr>
        <w:t xml:space="preserve"> </w:t>
      </w:r>
      <w:r>
        <w:rPr>
          <w:u w:val="single"/>
        </w:rPr>
        <w:t xml:space="preserve"> </w:t>
      </w:r>
      <w:r>
        <w:rPr>
          <w:u w:val="single"/>
        </w:rPr>
        <w:t xml:space="preserve">RECOMMENDATIONS.  (a)  The commission shall develop recommendations under this subchapter to address issues related to the public school statewide assessment system,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test construction and administration methods that ensure validity, readability, and fairness for all students;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assessment options to inform instruction throughout the school year;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disproportionate impact of assessments on students receiving each tier of the compensatory education allotment and other special populations, and appropriate policy responses;</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costs and instructional time devoted to the administration of state-required assessment instruments, and options for minimizing those costs and that time by combining assessments and classroom instruction;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privacy, security, and confidentiality protocols regarding the student information of a student receiving online instruction or assessment.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develop recommendations under this subchapter to address issues related to the public school academic accountability rating system,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correlation of accountability results with special student populations, including students who are educationally disadvantaged and students who are not educationally disadvantaged, for each domain rating and overall rating, and the effect of enrollment in open-enrollment charter schools and magnet or other voluntary programs on the composition of student populations of district campuses and the application of accountability measures;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characteristics and measures of effective schools beyond state-required assessment instruments and ways to incorporate those characteristics and measures into a fairer accountability system;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appropriateness and effectiveness of current district and campus sanctions and any correlation between sanctions imposed and campuses or districts serving particular student populations.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include and consider recommendations made by the existing Accountability Technical Advisory Committee and Accountability Policy Advisory Committee established by rule.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establish one or more working groups composed of not more than five commission members to study, discuss, and address specific policy issues and recommendations to refer to the commission for consideration.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39.457.</w:t>
      </w:r>
      <w:r>
        <w:rPr>
          <w:u w:val="single"/>
        </w:rPr>
        <w:t xml:space="preserve"> </w:t>
      </w:r>
      <w:r>
        <w:rPr>
          <w:u w:val="single"/>
        </w:rPr>
        <w:t xml:space="preserve"> </w:t>
      </w:r>
      <w:r>
        <w:rPr>
          <w:u w:val="single"/>
        </w:rPr>
        <w:t xml:space="preserve">REPORT.  Not later than December 31, 2024, the commission shall prepare and deliver to the governor and the legislature a report that recommends statutory changes to improve the public school assessment and accountability systems.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39.458.</w:t>
      </w:r>
      <w:r>
        <w:rPr>
          <w:u w:val="single"/>
        </w:rPr>
        <w:t xml:space="preserve"> </w:t>
      </w:r>
      <w:r>
        <w:rPr>
          <w:u w:val="single"/>
        </w:rPr>
        <w:t xml:space="preserve"> </w:t>
      </w:r>
      <w:r>
        <w:rPr>
          <w:u w:val="single"/>
        </w:rPr>
        <w:t xml:space="preserve">PUBLIC MEETINGS AND PUBLIC INFORMATION.  (a)  The commission may hold public meetings as needed to fulfill the commission's duties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is subject to Chapters 551 and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39.459.</w:t>
      </w:r>
      <w:r>
        <w:rPr>
          <w:u w:val="single"/>
        </w:rPr>
        <w:t xml:space="preserve"> </w:t>
      </w:r>
      <w:r>
        <w:rPr>
          <w:u w:val="single"/>
        </w:rPr>
        <w:t xml:space="preserve"> </w:t>
      </w:r>
      <w:r>
        <w:rPr>
          <w:u w:val="single"/>
        </w:rPr>
        <w:t xml:space="preserve">COMMISSION ABOLISHED; EXPIRATION OF SUBCHAPTER. </w:t>
      </w:r>
      <w:r>
        <w:rPr>
          <w:u w:val="single"/>
        </w:rPr>
        <w:t xml:space="preserve"> </w:t>
      </w:r>
      <w:r>
        <w:rPr>
          <w:u w:val="single"/>
        </w:rPr>
        <w:t xml:space="preserve">The commission is abolished and this subchapter expires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