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88R25581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Zwiener, Isaac, Troxclair,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King of Uvalde, Murr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commissioners court to adopt an exemption from ad valorem taxation by each taxing unit that taxes the property of the portion of the appraised value of a person's property that is attributable to the installation in or on the property of certain water conservation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11, Tax Code, is amended by adding Section 11.325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11.325.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 CONSERVATION SYSTEMS.  (a)  In this section, "graywater" has the meaning assigned by Section 341.039,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adopt an exemption from taxation of the portion of the appraised value of a person's property that is attributable to the installation in or on the property of a rainwater harvesting or graywater system. </w:t>
      </w:r>
      <w:r>
        <w:rPr>
          <w:u w:val="single"/>
        </w:rPr>
        <w:t xml:space="preserve"> </w:t>
      </w:r>
      <w:r>
        <w:rPr>
          <w:u w:val="single"/>
        </w:rPr>
        <w:t xml:space="preserve">An exemption adopted by a commissioners court under this section applies to the taxation of property by each taxing unit that taxes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to authorize the commissioners court of a county to exempt from ad valorem taxation by each political subdivision that taxes the property the portion of the assessed value of a person's property that is attributable to the installation in or on the property of a rainwater harvesting or graywater system is approved by the voters. </w:t>
      </w:r>
      <w:r>
        <w:t xml:space="preserve"> </w:t>
      </w:r>
      <w:r>
        <w:t xml:space="preserve">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