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the portion of the appraised value of a person's property that is attributable to the installation in or on the property of certain water conservation systems.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11, Tax Code, is amended by adding Section 11.325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11.325.</w:t>
      </w:r>
      <w:r>
        <w:rPr>
          <w:u w:val="single"/>
        </w:rPr>
        <w:t xml:space="preserve"> </w:t>
      </w:r>
      <w:r>
        <w:rPr>
          <w:u w:val="single"/>
        </w:rPr>
        <w:t xml:space="preserve"> </w:t>
      </w:r>
      <w:r>
        <w:rPr>
          <w:u w:val="single"/>
        </w:rPr>
        <w:t xml:space="preserve">WATER CONSERVATION SYSTEMS.  (a)  In this section, "graywater" has the meaning assigned by Section 341.039,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an exemption from taxation of the portion of the appraised value of the person's property that is attributable to the installation in or on the property of a rainwater harvesting or graywater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2024, but only if the constitutional amendment to authorize the legislature to exempt from ad valorem taxation the portion of the assessed value of a person's property that is attributable to the installation in or on the property of a rainwater harvesting or graywater system is approved by the voters. </w:t>
      </w:r>
      <w:r>
        <w:t xml:space="preserve"> </w:t>
      </w:r>
      <w:r>
        <w:t xml:space="preserve">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